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281" w:rsidRPr="00E92281" w:rsidRDefault="00E92281" w:rsidP="00E92281">
      <w:pPr>
        <w:keepNext/>
        <w:spacing w:after="0" w:line="240" w:lineRule="auto"/>
        <w:ind w:firstLine="708"/>
        <w:jc w:val="both"/>
        <w:outlineLvl w:val="0"/>
        <w:rPr>
          <w:rFonts w:ascii="Calibri" w:eastAsia="Calibri" w:hAnsi="Calibri" w:cs="Times New Roman"/>
          <w:bCs/>
          <w:iCs/>
          <w:color w:val="767171"/>
          <w:sz w:val="26"/>
          <w:szCs w:val="27"/>
          <w:lang w:eastAsia="es-ES"/>
        </w:rPr>
      </w:pPr>
      <w:r w:rsidRPr="00E92281">
        <w:rPr>
          <w:rFonts w:ascii="Calibri" w:eastAsia="Calibri" w:hAnsi="Calibri" w:cs="Times New Roman"/>
          <w:b/>
          <w:bCs/>
          <w:iCs/>
          <w:color w:val="767171"/>
          <w:sz w:val="26"/>
          <w:szCs w:val="27"/>
          <w:lang w:eastAsia="es-ES"/>
        </w:rPr>
        <w:t>León, Guanajuato, a 20 veinte de diciembre del año 2017 dos mil diecisiete</w:t>
      </w:r>
      <w:r w:rsidRPr="00E92281">
        <w:rPr>
          <w:rFonts w:ascii="Calibri" w:eastAsia="Calibri" w:hAnsi="Calibri" w:cs="Times New Roman"/>
          <w:color w:val="767171"/>
          <w:sz w:val="26"/>
          <w:szCs w:val="27"/>
          <w:lang w:eastAsia="es-ES"/>
        </w:rPr>
        <w:t xml:space="preserve">. . . . . . . . </w:t>
      </w:r>
      <w:r w:rsidRPr="00E92281">
        <w:rPr>
          <w:rFonts w:ascii="Calibri" w:eastAsia="Calibri" w:hAnsi="Calibri" w:cs="Arial"/>
          <w:bCs/>
          <w:i/>
          <w:iCs/>
          <w:color w:val="767171"/>
          <w:sz w:val="26"/>
          <w:szCs w:val="27"/>
          <w:lang w:eastAsia="es-ES"/>
        </w:rPr>
        <w:t>. . . . . . . . . . . . . . . . . . . . . . . . . . . . . . . . . . . . . . . . . . . . . . . . . . . . .</w:t>
      </w:r>
    </w:p>
    <w:p w:rsidR="00E92281" w:rsidRPr="00E92281" w:rsidRDefault="00E92281" w:rsidP="00E92281">
      <w:pPr>
        <w:spacing w:after="0" w:line="240" w:lineRule="auto"/>
        <w:rPr>
          <w:rFonts w:ascii="Calibri" w:eastAsia="Calibri" w:hAnsi="Calibri" w:cs="Times New Roman"/>
          <w:color w:val="767171"/>
          <w:szCs w:val="27"/>
          <w:lang w:eastAsia="es-ES"/>
        </w:rPr>
      </w:pPr>
    </w:p>
    <w:p w:rsidR="00E92281" w:rsidRPr="00E92281" w:rsidRDefault="00E92281" w:rsidP="00E92281">
      <w:pPr>
        <w:keepNext/>
        <w:spacing w:after="0" w:line="240" w:lineRule="auto"/>
        <w:ind w:firstLine="708"/>
        <w:jc w:val="both"/>
        <w:outlineLvl w:val="0"/>
        <w:rPr>
          <w:rFonts w:ascii="Calibri" w:eastAsia="Calibri" w:hAnsi="Calibri" w:cs="Arial"/>
          <w:b/>
          <w:bCs/>
          <w:i/>
          <w:iCs/>
          <w:color w:val="767171"/>
          <w:sz w:val="26"/>
          <w:szCs w:val="27"/>
          <w:lang w:eastAsia="es-ES"/>
        </w:rPr>
      </w:pPr>
      <w:r w:rsidRPr="00E92281">
        <w:rPr>
          <w:rFonts w:ascii="Calibri" w:eastAsia="Calibri" w:hAnsi="Calibri" w:cs="Arial"/>
          <w:b/>
          <w:bCs/>
          <w:i/>
          <w:iCs/>
          <w:color w:val="767171"/>
          <w:sz w:val="26"/>
          <w:szCs w:val="27"/>
          <w:lang w:eastAsia="es-ES"/>
        </w:rPr>
        <w:t xml:space="preserve">V I S T O S </w:t>
      </w:r>
      <w:r w:rsidRPr="00E92281">
        <w:rPr>
          <w:rFonts w:ascii="Calibri" w:eastAsia="Calibri" w:hAnsi="Calibri" w:cs="Arial"/>
          <w:bCs/>
          <w:iCs/>
          <w:color w:val="767171"/>
          <w:sz w:val="26"/>
          <w:szCs w:val="27"/>
          <w:lang w:eastAsia="es-ES"/>
        </w:rPr>
        <w:t xml:space="preserve">para dictar sentencia definitiva, los autos del proceso administrativo identificado con el número </w:t>
      </w:r>
      <w:r w:rsidRPr="00E92281">
        <w:rPr>
          <w:rFonts w:ascii="Calibri" w:eastAsia="Calibri" w:hAnsi="Calibri" w:cs="Arial"/>
          <w:b/>
          <w:bCs/>
          <w:iCs/>
          <w:color w:val="767171"/>
          <w:sz w:val="26"/>
          <w:szCs w:val="27"/>
          <w:lang w:eastAsia="es-ES"/>
        </w:rPr>
        <w:t>620/2014-JN</w:t>
      </w:r>
      <w:r w:rsidRPr="00E92281">
        <w:rPr>
          <w:rFonts w:ascii="Calibri" w:eastAsia="Calibri" w:hAnsi="Calibri" w:cs="Arial"/>
          <w:bCs/>
          <w:iCs/>
          <w:color w:val="767171"/>
          <w:sz w:val="26"/>
          <w:szCs w:val="27"/>
          <w:lang w:eastAsia="es-ES"/>
        </w:rPr>
        <w:t xml:space="preserve">, promovido por el ciudadano </w:t>
      </w:r>
      <w:r w:rsidRPr="00E92281">
        <w:rPr>
          <w:rFonts w:ascii="Calibri" w:eastAsia="Calibri" w:hAnsi="Calibri" w:cs="Arial"/>
          <w:b/>
          <w:bCs/>
          <w:iCs/>
          <w:color w:val="767171"/>
          <w:sz w:val="26"/>
          <w:szCs w:val="27"/>
          <w:lang w:eastAsia="es-ES"/>
        </w:rPr>
        <w:t>*****</w:t>
      </w:r>
      <w:r w:rsidRPr="00E92281">
        <w:rPr>
          <w:rFonts w:ascii="Calibri" w:eastAsia="Calibri" w:hAnsi="Calibri" w:cs="Arial"/>
          <w:b/>
          <w:bCs/>
          <w:i/>
          <w:iCs/>
          <w:color w:val="767171"/>
          <w:sz w:val="26"/>
          <w:szCs w:val="27"/>
          <w:lang w:eastAsia="es-ES"/>
        </w:rPr>
        <w:t xml:space="preserve">; </w:t>
      </w:r>
      <w:r w:rsidRPr="00E92281">
        <w:rPr>
          <w:rFonts w:ascii="Calibri" w:eastAsia="Calibri" w:hAnsi="Calibri" w:cs="Arial"/>
          <w:bCs/>
          <w:iCs/>
          <w:color w:val="767171"/>
          <w:sz w:val="26"/>
          <w:szCs w:val="27"/>
          <w:lang w:eastAsia="es-ES"/>
        </w:rPr>
        <w:t>y</w:t>
      </w:r>
      <w:proofErr w:type="gramStart"/>
      <w:r w:rsidRPr="00E92281">
        <w:rPr>
          <w:rFonts w:ascii="Calibri" w:eastAsia="Calibri" w:hAnsi="Calibri" w:cs="Arial"/>
          <w:bCs/>
          <w:iCs/>
          <w:color w:val="767171"/>
          <w:sz w:val="26"/>
          <w:szCs w:val="27"/>
          <w:lang w:eastAsia="es-ES"/>
        </w:rPr>
        <w:t>,</w:t>
      </w:r>
      <w:r w:rsidRPr="00E92281">
        <w:rPr>
          <w:rFonts w:ascii="Calibri" w:eastAsia="Calibri" w:hAnsi="Calibri" w:cs="Arial"/>
          <w:b/>
          <w:bCs/>
          <w:i/>
          <w:iCs/>
          <w:color w:val="767171"/>
          <w:sz w:val="26"/>
          <w:szCs w:val="27"/>
          <w:lang w:eastAsia="es-ES"/>
        </w:rPr>
        <w:t xml:space="preserve"> .</w:t>
      </w:r>
      <w:proofErr w:type="gramEnd"/>
      <w:r w:rsidRPr="00E92281">
        <w:rPr>
          <w:rFonts w:ascii="Calibri" w:eastAsia="Calibri" w:hAnsi="Calibri" w:cs="Arial"/>
          <w:b/>
          <w:bCs/>
          <w:i/>
          <w:iCs/>
          <w:color w:val="767171"/>
          <w:sz w:val="26"/>
          <w:szCs w:val="27"/>
          <w:lang w:eastAsia="es-ES"/>
        </w:rPr>
        <w:t xml:space="preserve"> . . . . . . . . . . . . . . . . . . . . . . . . . . . . . . . . . . . </w:t>
      </w:r>
    </w:p>
    <w:p w:rsidR="00E92281" w:rsidRPr="00E92281" w:rsidRDefault="00E92281" w:rsidP="00E92281">
      <w:pPr>
        <w:spacing w:after="0" w:line="240" w:lineRule="auto"/>
        <w:jc w:val="both"/>
        <w:rPr>
          <w:rFonts w:ascii="Calibri" w:eastAsia="Calibri" w:hAnsi="Calibri" w:cs="Arial"/>
          <w:color w:val="767171"/>
          <w:szCs w:val="27"/>
          <w:lang w:eastAsia="es-ES"/>
        </w:rPr>
      </w:pPr>
    </w:p>
    <w:p w:rsidR="00E92281" w:rsidRPr="00E92281" w:rsidRDefault="00E92281" w:rsidP="00E92281">
      <w:pPr>
        <w:spacing w:after="0" w:line="240" w:lineRule="auto"/>
        <w:ind w:firstLine="708"/>
        <w:jc w:val="both"/>
        <w:rPr>
          <w:rFonts w:ascii="Calibri" w:eastAsia="Calibri" w:hAnsi="Calibri" w:cs="Arial"/>
          <w:color w:val="767171"/>
          <w:szCs w:val="27"/>
          <w:lang w:val="es-ES" w:eastAsia="es-ES"/>
        </w:rPr>
      </w:pPr>
    </w:p>
    <w:p w:rsidR="00E92281" w:rsidRPr="00E92281" w:rsidRDefault="00E92281" w:rsidP="00E92281">
      <w:pPr>
        <w:spacing w:after="0" w:line="240" w:lineRule="auto"/>
        <w:ind w:firstLine="708"/>
        <w:jc w:val="center"/>
        <w:rPr>
          <w:rFonts w:ascii="Calibri" w:eastAsia="Calibri" w:hAnsi="Calibri" w:cs="Arial"/>
          <w:b/>
          <w:bCs/>
          <w:i/>
          <w:iCs/>
          <w:color w:val="767171"/>
          <w:sz w:val="26"/>
          <w:szCs w:val="27"/>
          <w:lang w:eastAsia="es-ES"/>
        </w:rPr>
      </w:pPr>
      <w:r w:rsidRPr="00E92281">
        <w:rPr>
          <w:rFonts w:ascii="Calibri" w:eastAsia="Calibri" w:hAnsi="Calibri" w:cs="Arial"/>
          <w:b/>
          <w:bCs/>
          <w:i/>
          <w:iCs/>
          <w:color w:val="767171"/>
          <w:sz w:val="26"/>
          <w:szCs w:val="27"/>
          <w:lang w:eastAsia="es-ES"/>
        </w:rPr>
        <w:t xml:space="preserve">C O N S I D E R A N D </w:t>
      </w:r>
      <w:proofErr w:type="gramStart"/>
      <w:r w:rsidRPr="00E92281">
        <w:rPr>
          <w:rFonts w:ascii="Calibri" w:eastAsia="Calibri" w:hAnsi="Calibri" w:cs="Arial"/>
          <w:b/>
          <w:bCs/>
          <w:i/>
          <w:iCs/>
          <w:color w:val="767171"/>
          <w:sz w:val="26"/>
          <w:szCs w:val="27"/>
          <w:lang w:eastAsia="es-ES"/>
        </w:rPr>
        <w:t>O :</w:t>
      </w:r>
      <w:proofErr w:type="gramEnd"/>
    </w:p>
    <w:p w:rsidR="00E92281" w:rsidRPr="00E92281" w:rsidRDefault="00E92281" w:rsidP="00E92281">
      <w:pPr>
        <w:spacing w:after="0" w:line="240" w:lineRule="auto"/>
        <w:ind w:firstLine="708"/>
        <w:jc w:val="center"/>
        <w:rPr>
          <w:rFonts w:ascii="Calibri" w:eastAsia="Calibri" w:hAnsi="Calibri" w:cs="Arial"/>
          <w:b/>
          <w:bCs/>
          <w:color w:val="767171"/>
          <w:szCs w:val="27"/>
          <w:lang w:eastAsia="es-ES"/>
        </w:rPr>
      </w:pPr>
    </w:p>
    <w:p w:rsidR="00E92281" w:rsidRPr="00E92281" w:rsidRDefault="00E92281" w:rsidP="00E92281">
      <w:pPr>
        <w:spacing w:after="0" w:line="240" w:lineRule="auto"/>
        <w:jc w:val="right"/>
        <w:rPr>
          <w:rFonts w:ascii="Calibri" w:eastAsia="Calibri" w:hAnsi="Calibri" w:cs="Arial"/>
          <w:b/>
          <w:bCs/>
          <w:color w:val="767171"/>
          <w:sz w:val="26"/>
          <w:szCs w:val="27"/>
          <w:lang w:eastAsia="es-ES"/>
        </w:rPr>
      </w:pPr>
    </w:p>
    <w:p w:rsidR="00E92281" w:rsidRPr="00E92281" w:rsidRDefault="00E92281" w:rsidP="00E92281">
      <w:pPr>
        <w:spacing w:after="0" w:line="240" w:lineRule="auto"/>
        <w:ind w:firstLine="708"/>
        <w:jc w:val="both"/>
        <w:rPr>
          <w:rFonts w:ascii="Calibri" w:eastAsia="Calibri" w:hAnsi="Calibri" w:cs="Arial"/>
          <w:color w:val="767171"/>
          <w:sz w:val="26"/>
          <w:szCs w:val="27"/>
          <w:lang w:eastAsia="es-ES"/>
        </w:rPr>
      </w:pPr>
      <w:r w:rsidRPr="00E92281">
        <w:rPr>
          <w:rFonts w:ascii="Calibri" w:eastAsia="Calibri" w:hAnsi="Calibri" w:cs="Arial"/>
          <w:b/>
          <w:bCs/>
          <w:i/>
          <w:iCs/>
          <w:color w:val="767171"/>
          <w:sz w:val="26"/>
          <w:szCs w:val="27"/>
          <w:lang w:eastAsia="es-ES"/>
        </w:rPr>
        <w:t>SEGUNDO</w:t>
      </w:r>
      <w:r w:rsidRPr="00E92281">
        <w:rPr>
          <w:rFonts w:ascii="Calibri" w:eastAsia="Calibri" w:hAnsi="Calibri" w:cs="Arial"/>
          <w:b/>
          <w:bCs/>
          <w:color w:val="767171"/>
          <w:sz w:val="26"/>
          <w:szCs w:val="27"/>
          <w:lang w:eastAsia="es-ES"/>
        </w:rPr>
        <w:t xml:space="preserve">.- </w:t>
      </w:r>
      <w:r w:rsidRPr="00E92281">
        <w:rPr>
          <w:rFonts w:ascii="Calibri" w:eastAsia="Calibri" w:hAnsi="Calibri" w:cs="Arial"/>
          <w:color w:val="767171"/>
          <w:sz w:val="26"/>
          <w:szCs w:val="27"/>
          <w:lang w:eastAsia="es-ES"/>
        </w:rPr>
        <w:t>El presente proceso fue promovido oportunamente, toda vez que la demanda fue presentada dentro de los 30 treinta días hábiles siguientes a aquél en que el actor se ostenta sabedor del acto impugnado, lo que refirió fue el día 21 veintiuno de octubre del año 2014 dos mil catorce, sin que de las constancias del presente expediente se desprenda lo contrario</w:t>
      </w:r>
      <w:r w:rsidRPr="00E92281">
        <w:rPr>
          <w:rFonts w:ascii="Calibri" w:eastAsia="Calibri" w:hAnsi="Calibri" w:cs="Times New Roman"/>
          <w:color w:val="767171"/>
          <w:sz w:val="26"/>
          <w:szCs w:val="27"/>
          <w:lang w:eastAsia="es-ES"/>
        </w:rPr>
        <w:t>. . . . . . . . . . . . . . . .</w:t>
      </w:r>
    </w:p>
    <w:p w:rsidR="00E92281" w:rsidRPr="00E92281" w:rsidRDefault="00E92281" w:rsidP="00E92281">
      <w:pPr>
        <w:spacing w:after="0" w:line="240" w:lineRule="auto"/>
        <w:jc w:val="both"/>
        <w:rPr>
          <w:rFonts w:ascii="Calibri" w:eastAsia="Calibri" w:hAnsi="Calibri" w:cs="Times New Roman"/>
          <w:b/>
          <w:iCs/>
          <w:color w:val="767171"/>
          <w:sz w:val="26"/>
          <w:szCs w:val="27"/>
          <w:lang w:eastAsia="es-ES"/>
        </w:rPr>
      </w:pPr>
    </w:p>
    <w:p w:rsidR="00E92281" w:rsidRPr="00E92281" w:rsidRDefault="00E92281" w:rsidP="00E92281">
      <w:pPr>
        <w:spacing w:after="0" w:line="240" w:lineRule="auto"/>
        <w:ind w:firstLine="708"/>
        <w:jc w:val="both"/>
        <w:rPr>
          <w:rFonts w:ascii="Calibri" w:eastAsia="Calibri" w:hAnsi="Calibri" w:cs="Times New Roman"/>
          <w:bCs/>
          <w:color w:val="767171"/>
          <w:sz w:val="26"/>
          <w:szCs w:val="27"/>
          <w:lang w:eastAsia="es-ES"/>
        </w:rPr>
      </w:pPr>
      <w:r w:rsidRPr="00E92281">
        <w:rPr>
          <w:rFonts w:ascii="Calibri" w:eastAsia="Calibri" w:hAnsi="Calibri" w:cs="Times New Roman"/>
          <w:b/>
          <w:i/>
          <w:iCs/>
          <w:color w:val="767171"/>
          <w:sz w:val="26"/>
          <w:szCs w:val="27"/>
          <w:lang w:eastAsia="es-ES"/>
        </w:rPr>
        <w:t xml:space="preserve">TERCERO.- </w:t>
      </w:r>
      <w:r w:rsidRPr="00E92281">
        <w:rPr>
          <w:rFonts w:ascii="Calibri" w:eastAsia="Calibri" w:hAnsi="Calibri" w:cs="Times New Roman"/>
          <w:color w:val="767171"/>
          <w:sz w:val="26"/>
          <w:szCs w:val="27"/>
          <w:lang w:eastAsia="es-ES"/>
        </w:rPr>
        <w:t>La existencia del acto impugnado en la presente causa administrativa, consistente en</w:t>
      </w:r>
      <w:r w:rsidRPr="00E92281">
        <w:rPr>
          <w:rFonts w:ascii="Calibri" w:eastAsia="Calibri" w:hAnsi="Calibri" w:cs="Times New Roman"/>
          <w:bCs/>
          <w:color w:val="767171"/>
          <w:sz w:val="26"/>
          <w:szCs w:val="27"/>
          <w:lang w:eastAsia="es-ES"/>
        </w:rPr>
        <w:t xml:space="preserve"> el oficio con folio número </w:t>
      </w:r>
      <w:r w:rsidRPr="00E92281">
        <w:rPr>
          <w:rFonts w:ascii="Calibri" w:eastAsia="Calibri" w:hAnsi="Calibri" w:cs="Times New Roman"/>
          <w:b/>
          <w:bCs/>
          <w:color w:val="767171"/>
          <w:sz w:val="26"/>
          <w:szCs w:val="27"/>
          <w:lang w:eastAsia="es-ES"/>
        </w:rPr>
        <w:t>TML/DGI/7298/2014</w:t>
      </w:r>
      <w:r w:rsidRPr="00E92281">
        <w:rPr>
          <w:rFonts w:ascii="Calibri" w:eastAsia="Calibri" w:hAnsi="Calibri" w:cs="Times New Roman"/>
          <w:bCs/>
          <w:color w:val="767171"/>
          <w:sz w:val="26"/>
          <w:szCs w:val="27"/>
          <w:lang w:eastAsia="es-ES"/>
        </w:rPr>
        <w:t xml:space="preserve">, de fecha 26 veintiséis de agosto del año 2014 dos mil catorce, por el cual se determinó un crédito fiscal a los ciudadanos ***** y ***** como copropietarios, por concepto del impuesto predial, respecto del inmueble ubicado en la calle *****; se encuentra acreditada en autos, con el original de dicho oficio, suscrito por el Tesorero Municipal, el que fue presentado por la parte actora y obra </w:t>
      </w:r>
      <w:r w:rsidRPr="00E92281">
        <w:rPr>
          <w:rFonts w:ascii="Calibri" w:eastAsia="Calibri" w:hAnsi="Calibri" w:cs="Times New Roman"/>
          <w:color w:val="767171"/>
          <w:sz w:val="26"/>
          <w:szCs w:val="27"/>
          <w:lang w:eastAsia="es-ES"/>
        </w:rPr>
        <w:t xml:space="preserve">en original en el secreto de este Juzgado, y en copia certificada visible a fojas 9 nueve a 11  once del expediente). . . . . . . . . . . . . . . . . . . . . . . . . . . . . . . . . . . </w:t>
      </w:r>
    </w:p>
    <w:p w:rsidR="00E92281" w:rsidRPr="00E92281" w:rsidRDefault="00E92281" w:rsidP="00E92281">
      <w:pPr>
        <w:spacing w:after="0" w:line="240" w:lineRule="auto"/>
        <w:ind w:firstLine="708"/>
        <w:jc w:val="both"/>
        <w:rPr>
          <w:rFonts w:ascii="Calibri" w:eastAsia="Calibri" w:hAnsi="Calibri" w:cs="Times New Roman"/>
          <w:color w:val="767171"/>
          <w:sz w:val="26"/>
          <w:szCs w:val="27"/>
          <w:lang w:eastAsia="es-ES"/>
        </w:rPr>
      </w:pPr>
    </w:p>
    <w:p w:rsidR="00E92281" w:rsidRPr="00E92281" w:rsidRDefault="00E92281" w:rsidP="00E92281">
      <w:pPr>
        <w:spacing w:after="0" w:line="240" w:lineRule="auto"/>
        <w:ind w:firstLine="708"/>
        <w:jc w:val="both"/>
        <w:rPr>
          <w:rFonts w:ascii="Calibri" w:eastAsia="Calibri" w:hAnsi="Calibri" w:cs="Times New Roman"/>
          <w:i/>
          <w:color w:val="767171"/>
          <w:sz w:val="26"/>
          <w:szCs w:val="27"/>
          <w:lang w:val="es-ES" w:eastAsia="es-ES"/>
        </w:rPr>
      </w:pPr>
      <w:r w:rsidRPr="00E92281">
        <w:rPr>
          <w:rFonts w:ascii="Calibri" w:eastAsia="Calibri" w:hAnsi="Calibri" w:cs="Times New Roman"/>
          <w:color w:val="767171"/>
          <w:sz w:val="26"/>
          <w:szCs w:val="27"/>
          <w:lang w:val="es-ES" w:eastAsia="es-ES"/>
        </w:rPr>
        <w:t xml:space="preserve">Documento que merece pleno valor probatorio, </w:t>
      </w:r>
      <w:r w:rsidRPr="00E92281">
        <w:rPr>
          <w:rFonts w:ascii="Calibri" w:eastAsia="Calibri" w:hAnsi="Calibri" w:cs="Arial"/>
          <w:color w:val="767171"/>
          <w:sz w:val="26"/>
          <w:szCs w:val="27"/>
          <w:lang w:val="es-ES" w:eastAsia="es-ES"/>
        </w:rPr>
        <w:t xml:space="preserve">conforme a lo dispuesto en los artículos </w:t>
      </w:r>
      <w:r w:rsidRPr="00E92281">
        <w:rPr>
          <w:rFonts w:ascii="Calibri" w:eastAsia="Calibri" w:hAnsi="Calibri" w:cs="Times New Roman"/>
          <w:color w:val="767171"/>
          <w:sz w:val="26"/>
          <w:szCs w:val="27"/>
          <w:lang w:val="es-ES" w:eastAsia="es-ES"/>
        </w:rPr>
        <w:t xml:space="preserve">78, 117, 118, 121 y 123 del Código de Procedimiento y Justicia Administrativa para el Estado y los Municipios de Guanajuato; toda vez que se trata de un documento público emitido por el Tesorero Municipal, lo que realizó en el ejercicio de sus atribuciones; aunada la circunstancia de que el demandado, al contestar la demanda, expresó: </w:t>
      </w:r>
      <w:r w:rsidRPr="00E92281">
        <w:rPr>
          <w:rFonts w:ascii="Calibri" w:eastAsia="Calibri" w:hAnsi="Calibri" w:cs="Times New Roman"/>
          <w:i/>
          <w:color w:val="767171"/>
          <w:sz w:val="26"/>
          <w:szCs w:val="27"/>
          <w:lang w:val="es-ES" w:eastAsia="es-ES"/>
        </w:rPr>
        <w:t xml:space="preserve">“……en relación al acto impugnado aclaro que </w:t>
      </w:r>
    </w:p>
    <w:p w:rsidR="00E92281" w:rsidRPr="00E92281" w:rsidRDefault="00E92281" w:rsidP="00E92281">
      <w:pPr>
        <w:spacing w:after="0" w:line="240" w:lineRule="auto"/>
        <w:ind w:firstLine="708"/>
        <w:jc w:val="right"/>
        <w:rPr>
          <w:rFonts w:ascii="Calibri" w:eastAsia="Calibri" w:hAnsi="Calibri" w:cs="Times New Roman"/>
          <w:b/>
          <w:color w:val="767171"/>
          <w:sz w:val="26"/>
          <w:szCs w:val="27"/>
          <w:lang w:val="es-ES" w:eastAsia="es-ES"/>
        </w:rPr>
      </w:pPr>
      <w:r w:rsidRPr="00E92281">
        <w:rPr>
          <w:rFonts w:ascii="Calibri" w:eastAsia="Calibri" w:hAnsi="Calibri" w:cs="Times New Roman"/>
          <w:b/>
          <w:color w:val="767171"/>
          <w:sz w:val="26"/>
          <w:szCs w:val="27"/>
          <w:lang w:val="es-ES" w:eastAsia="es-ES"/>
        </w:rPr>
        <w:t>Expediente número 620/2014-JN</w:t>
      </w:r>
    </w:p>
    <w:p w:rsidR="00E92281" w:rsidRPr="00E92281" w:rsidRDefault="00E92281" w:rsidP="00E92281">
      <w:pPr>
        <w:spacing w:after="0" w:line="240" w:lineRule="auto"/>
        <w:ind w:firstLine="708"/>
        <w:jc w:val="both"/>
        <w:rPr>
          <w:rFonts w:ascii="Calibri" w:eastAsia="Calibri" w:hAnsi="Calibri" w:cs="Times New Roman"/>
          <w:i/>
          <w:color w:val="767171"/>
          <w:sz w:val="26"/>
          <w:szCs w:val="27"/>
          <w:lang w:val="es-ES" w:eastAsia="es-ES"/>
        </w:rPr>
      </w:pPr>
    </w:p>
    <w:p w:rsidR="00E92281" w:rsidRPr="00E92281" w:rsidRDefault="00E92281" w:rsidP="00E92281">
      <w:pPr>
        <w:spacing w:after="0" w:line="240" w:lineRule="auto"/>
        <w:jc w:val="both"/>
        <w:rPr>
          <w:rFonts w:ascii="Calibri" w:eastAsia="Calibri" w:hAnsi="Calibri" w:cs="Times New Roman"/>
          <w:color w:val="767171"/>
          <w:sz w:val="26"/>
          <w:szCs w:val="27"/>
          <w:lang w:val="es-ES" w:eastAsia="es-ES"/>
        </w:rPr>
      </w:pPr>
      <w:r w:rsidRPr="00E92281">
        <w:rPr>
          <w:rFonts w:ascii="Calibri" w:eastAsia="Calibri" w:hAnsi="Calibri" w:cs="Times New Roman"/>
          <w:i/>
          <w:color w:val="767171"/>
          <w:sz w:val="26"/>
          <w:szCs w:val="27"/>
          <w:lang w:val="es-ES" w:eastAsia="es-ES"/>
        </w:rPr>
        <w:t>el mismo fue emitido con la debida fundamentación y motivación, observando lo dispuesto……”;</w:t>
      </w:r>
      <w:r w:rsidRPr="00E92281">
        <w:rPr>
          <w:rFonts w:ascii="Calibri" w:eastAsia="Calibri" w:hAnsi="Calibri" w:cs="Times New Roman"/>
          <w:color w:val="767171"/>
          <w:sz w:val="26"/>
          <w:szCs w:val="27"/>
          <w:lang w:val="es-ES" w:eastAsia="es-ES"/>
        </w:rPr>
        <w:t xml:space="preserve"> lo que sin duda constituye una </w:t>
      </w:r>
      <w:r w:rsidRPr="00E92281">
        <w:rPr>
          <w:rFonts w:ascii="Calibri" w:eastAsia="Calibri" w:hAnsi="Calibri" w:cs="Times New Roman"/>
          <w:b/>
          <w:color w:val="767171"/>
          <w:sz w:val="26"/>
          <w:szCs w:val="27"/>
          <w:lang w:val="es-ES" w:eastAsia="es-ES"/>
        </w:rPr>
        <w:t>confesión expresa</w:t>
      </w:r>
      <w:r w:rsidRPr="00E92281">
        <w:rPr>
          <w:rFonts w:ascii="Calibri" w:eastAsia="Calibri" w:hAnsi="Calibri" w:cs="Times New Roman"/>
          <w:color w:val="767171"/>
          <w:sz w:val="26"/>
          <w:szCs w:val="27"/>
          <w:lang w:val="es-ES" w:eastAsia="es-ES"/>
        </w:rPr>
        <w:t xml:space="preserve"> de haber emitido el acto controvertido, por lo que no existe duda alguna sobre su existencia. . </w:t>
      </w:r>
      <w:r w:rsidRPr="00E92281">
        <w:rPr>
          <w:rFonts w:ascii="Calibri" w:eastAsia="Calibri" w:hAnsi="Calibri" w:cs="Times New Roman"/>
          <w:color w:val="767171"/>
          <w:sz w:val="26"/>
          <w:szCs w:val="26"/>
          <w:lang w:val="es-ES" w:eastAsia="es-ES"/>
        </w:rPr>
        <w:t xml:space="preserve">. . . . . . . . . . </w:t>
      </w:r>
      <w:r w:rsidRPr="00E92281">
        <w:rPr>
          <w:rFonts w:ascii="Calibri" w:eastAsia="Calibri" w:hAnsi="Calibri" w:cs="Calibri"/>
          <w:color w:val="767171"/>
          <w:sz w:val="26"/>
          <w:szCs w:val="26"/>
          <w:lang w:val="es-ES" w:eastAsia="es-ES"/>
        </w:rPr>
        <w:t xml:space="preserve">. . . . . . . . . . . . . . . . . . . . . . . . . . . . . . . . . . . . . . . . . . . . . . . . . </w:t>
      </w:r>
    </w:p>
    <w:p w:rsidR="00E92281" w:rsidRPr="00E92281" w:rsidRDefault="00E92281" w:rsidP="00E92281">
      <w:pPr>
        <w:spacing w:after="0" w:line="240" w:lineRule="auto"/>
        <w:jc w:val="both"/>
        <w:rPr>
          <w:rFonts w:ascii="Calibri" w:eastAsia="Calibri" w:hAnsi="Calibri" w:cs="Times New Roman"/>
          <w:b/>
          <w:bCs/>
          <w:i/>
          <w:iCs/>
          <w:color w:val="767171"/>
          <w:sz w:val="26"/>
          <w:szCs w:val="27"/>
          <w:lang w:val="es-ES" w:eastAsia="es-ES"/>
        </w:rPr>
      </w:pPr>
    </w:p>
    <w:p w:rsidR="00E92281" w:rsidRPr="00E92281" w:rsidRDefault="00E92281" w:rsidP="00E92281">
      <w:pPr>
        <w:spacing w:after="0" w:line="240" w:lineRule="auto"/>
        <w:ind w:firstLine="708"/>
        <w:jc w:val="both"/>
        <w:rPr>
          <w:rFonts w:ascii="Calibri" w:eastAsia="Calibri" w:hAnsi="Calibri" w:cs="Times New Roman"/>
          <w:bCs/>
          <w:iCs/>
          <w:color w:val="767171"/>
          <w:sz w:val="26"/>
          <w:szCs w:val="26"/>
          <w:lang w:val="es-ES" w:eastAsia="es-ES"/>
        </w:rPr>
      </w:pPr>
      <w:r w:rsidRPr="00E92281">
        <w:rPr>
          <w:rFonts w:ascii="Calibri" w:eastAsia="Calibri" w:hAnsi="Calibri" w:cs="Times New Roman"/>
          <w:b/>
          <w:bCs/>
          <w:i/>
          <w:iCs/>
          <w:color w:val="767171"/>
          <w:sz w:val="26"/>
          <w:szCs w:val="27"/>
          <w:lang w:val="es-ES" w:eastAsia="es-ES"/>
        </w:rPr>
        <w:lastRenderedPageBreak/>
        <w:t xml:space="preserve">CUARTO.- </w:t>
      </w:r>
      <w:r w:rsidRPr="00E92281">
        <w:rPr>
          <w:rFonts w:ascii="Calibri" w:eastAsia="Calibri" w:hAnsi="Calibri" w:cs="Times New Roman"/>
          <w:bCs/>
          <w:iCs/>
          <w:color w:val="767171"/>
          <w:sz w:val="26"/>
          <w:szCs w:val="26"/>
          <w:lang w:val="es-ES" w:eastAsia="es-ES"/>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E92281" w:rsidRPr="00E92281" w:rsidRDefault="00E92281" w:rsidP="00E92281">
      <w:pPr>
        <w:spacing w:after="0" w:line="240" w:lineRule="auto"/>
        <w:ind w:firstLine="708"/>
        <w:jc w:val="both"/>
        <w:rPr>
          <w:rFonts w:ascii="Calibri" w:eastAsia="Calibri" w:hAnsi="Calibri" w:cs="Times New Roman"/>
          <w:bCs/>
          <w:iCs/>
          <w:color w:val="767171"/>
          <w:sz w:val="26"/>
          <w:szCs w:val="26"/>
          <w:lang w:val="es-ES" w:eastAsia="es-ES"/>
        </w:rPr>
      </w:pPr>
    </w:p>
    <w:p w:rsidR="00E92281" w:rsidRPr="00E92281" w:rsidRDefault="00E92281" w:rsidP="00E92281">
      <w:pPr>
        <w:spacing w:after="120" w:line="240" w:lineRule="auto"/>
        <w:ind w:firstLine="708"/>
        <w:jc w:val="both"/>
        <w:rPr>
          <w:rFonts w:ascii="Calibri" w:eastAsia="Calibri" w:hAnsi="Calibri" w:cs="Calibri"/>
          <w:bCs/>
          <w:iCs/>
          <w:color w:val="767171"/>
          <w:sz w:val="20"/>
          <w:szCs w:val="20"/>
          <w:lang w:val="es-ES" w:eastAsia="es-ES"/>
        </w:rPr>
      </w:pPr>
      <w:r w:rsidRPr="00E92281">
        <w:rPr>
          <w:rFonts w:ascii="Calibri" w:eastAsia="Calibri" w:hAnsi="Calibri" w:cs="Calibri"/>
          <w:bCs/>
          <w:iCs/>
          <w:color w:val="767171"/>
          <w:sz w:val="26"/>
          <w:szCs w:val="26"/>
          <w:lang w:val="es-ES" w:eastAsia="es-ES"/>
        </w:rPr>
        <w:t xml:space="preserve">Sentado lo anterior, se advierte que en el presente proceso, la autoridad demandada </w:t>
      </w:r>
      <w:r w:rsidRPr="00E92281">
        <w:rPr>
          <w:rFonts w:ascii="Calibri" w:eastAsia="Calibri" w:hAnsi="Calibri" w:cs="Calibri"/>
          <w:b/>
          <w:bCs/>
          <w:iCs/>
          <w:color w:val="767171"/>
          <w:sz w:val="26"/>
          <w:szCs w:val="26"/>
          <w:lang w:val="es-ES" w:eastAsia="es-ES"/>
        </w:rPr>
        <w:t>no exteriorizó</w:t>
      </w:r>
      <w:r w:rsidRPr="00E92281">
        <w:rPr>
          <w:rFonts w:ascii="Calibri" w:eastAsia="Calibri" w:hAnsi="Calibri" w:cs="Calibri"/>
          <w:bCs/>
          <w:iCs/>
          <w:color w:val="767171"/>
          <w:sz w:val="26"/>
          <w:szCs w:val="26"/>
          <w:lang w:val="es-ES" w:eastAsia="es-ES"/>
        </w:rPr>
        <w:t xml:space="preserve"> ninguna causal de improcedencia o de sobreseimiento, </w:t>
      </w:r>
      <w:r w:rsidRPr="00E92281">
        <w:rPr>
          <w:rFonts w:ascii="Calibri" w:eastAsia="Calibri" w:hAnsi="Calibri" w:cs="Times New Roman"/>
          <w:color w:val="767171"/>
          <w:sz w:val="26"/>
          <w:szCs w:val="27"/>
          <w:lang w:val="es-ES" w:eastAsia="es-ES"/>
        </w:rPr>
        <w:t xml:space="preserve">que impida el estudio de fondo de la presente causa administrativa, en relación al </w:t>
      </w:r>
      <w:r w:rsidRPr="00E92281">
        <w:rPr>
          <w:rFonts w:ascii="Calibri" w:eastAsia="Calibri" w:hAnsi="Calibri" w:cs="Calibri"/>
          <w:bCs/>
          <w:iCs/>
          <w:color w:val="767171"/>
          <w:sz w:val="26"/>
          <w:szCs w:val="26"/>
          <w:lang w:val="es-ES" w:eastAsia="es-ES"/>
        </w:rPr>
        <w:t>acto administrativo impugnado</w:t>
      </w:r>
      <w:r w:rsidRPr="00E92281">
        <w:rPr>
          <w:rFonts w:ascii="Calibri" w:eastAsia="Calibri" w:hAnsi="Calibri" w:cs="Times New Roman"/>
          <w:color w:val="767171"/>
          <w:sz w:val="26"/>
          <w:szCs w:val="27"/>
          <w:lang w:val="es-ES" w:eastAsia="es-ES"/>
        </w:rPr>
        <w:t xml:space="preserve">; y este juzgador, de oficio, no advierte la actualización de ninguna de las previstas en los artículos 261 y 262 del Código de Procedimiento y Justicia Administrativa para el Estado y los Municipios de Guanajuato; </w:t>
      </w:r>
      <w:r w:rsidRPr="00E92281">
        <w:rPr>
          <w:rFonts w:ascii="Calibri" w:eastAsia="Calibri" w:hAnsi="Calibri" w:cs="Calibri"/>
          <w:bCs/>
          <w:iCs/>
          <w:color w:val="767171"/>
          <w:sz w:val="26"/>
          <w:szCs w:val="26"/>
          <w:lang w:val="es-ES" w:eastAsia="es-ES"/>
        </w:rPr>
        <w:t>por lo que en corolario, es procedente el presente proceso</w:t>
      </w:r>
      <w:r w:rsidRPr="00E92281">
        <w:rPr>
          <w:rFonts w:ascii="Calibri" w:eastAsia="Calibri" w:hAnsi="Calibri" w:cs="Times New Roman"/>
          <w:color w:val="767171"/>
          <w:sz w:val="26"/>
          <w:szCs w:val="27"/>
          <w:lang w:val="es-ES" w:eastAsia="es-ES"/>
        </w:rPr>
        <w:t xml:space="preserve">. </w:t>
      </w:r>
      <w:r w:rsidRPr="00E92281">
        <w:rPr>
          <w:rFonts w:ascii="Calibri" w:eastAsia="Calibri" w:hAnsi="Calibri" w:cs="Times New Roman"/>
          <w:color w:val="767171"/>
          <w:sz w:val="26"/>
          <w:szCs w:val="24"/>
          <w:lang w:val="es-ES" w:eastAsia="es-ES"/>
        </w:rPr>
        <w:t xml:space="preserve">. . . . . . . . . . . . . . . . . . . . . . . . . . . . . . . . . . . . . . . . . . . . . . . . . . . . . . . . . . . . . </w:t>
      </w:r>
    </w:p>
    <w:p w:rsidR="00E92281" w:rsidRPr="00E92281" w:rsidRDefault="00E92281" w:rsidP="00E92281">
      <w:pPr>
        <w:spacing w:after="0" w:line="240" w:lineRule="auto"/>
        <w:jc w:val="both"/>
        <w:rPr>
          <w:rFonts w:ascii="Calibri" w:eastAsia="Calibri" w:hAnsi="Calibri" w:cs="Calibri"/>
          <w:color w:val="767171"/>
          <w:sz w:val="26"/>
          <w:szCs w:val="26"/>
          <w:lang w:val="es-ES" w:eastAsia="es-ES"/>
        </w:rPr>
      </w:pPr>
    </w:p>
    <w:p w:rsidR="00E92281" w:rsidRPr="00E92281" w:rsidRDefault="00E92281" w:rsidP="00E92281">
      <w:pPr>
        <w:spacing w:after="0" w:line="240" w:lineRule="auto"/>
        <w:ind w:firstLine="708"/>
        <w:jc w:val="both"/>
        <w:rPr>
          <w:rFonts w:ascii="Calibri" w:eastAsia="Calibri" w:hAnsi="Calibri" w:cs="Calibri"/>
          <w:b/>
          <w:bCs/>
          <w:i/>
          <w:iCs/>
          <w:color w:val="767171"/>
          <w:sz w:val="26"/>
          <w:szCs w:val="26"/>
          <w:lang w:val="es-ES" w:eastAsia="es-ES"/>
        </w:rPr>
      </w:pPr>
      <w:r w:rsidRPr="00E92281">
        <w:rPr>
          <w:rFonts w:ascii="Calibri" w:eastAsia="Calibri" w:hAnsi="Calibri" w:cs="Calibri"/>
          <w:b/>
          <w:bCs/>
          <w:i/>
          <w:iCs/>
          <w:color w:val="767171"/>
          <w:sz w:val="26"/>
          <w:szCs w:val="26"/>
          <w:lang w:val="es-ES" w:eastAsia="es-ES"/>
        </w:rPr>
        <w:t xml:space="preserve">QUINTO.- </w:t>
      </w:r>
      <w:r w:rsidRPr="00E92281">
        <w:rPr>
          <w:rFonts w:ascii="Calibri" w:eastAsia="Calibri" w:hAnsi="Calibri" w:cs="Calibri"/>
          <w:bCs/>
          <w:iCs/>
          <w:color w:val="767171"/>
          <w:sz w:val="26"/>
          <w:szCs w:val="26"/>
          <w:lang w:val="es-ES" w:eastAsia="es-ES"/>
        </w:rPr>
        <w:t>Previamente al análisis del planteamiento de fondo formulado por el impetrante, es</w:t>
      </w:r>
      <w:r w:rsidRPr="00E92281">
        <w:rPr>
          <w:rFonts w:ascii="Calibri" w:eastAsia="Calibri" w:hAnsi="Calibri" w:cs="Calibri"/>
          <w:color w:val="767171"/>
          <w:sz w:val="26"/>
          <w:szCs w:val="26"/>
          <w:lang w:val="es-ES" w:eastAsia="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E92281" w:rsidRPr="00E92281" w:rsidRDefault="00E92281" w:rsidP="00E92281">
      <w:pPr>
        <w:spacing w:after="0" w:line="240" w:lineRule="auto"/>
        <w:jc w:val="both"/>
        <w:rPr>
          <w:rFonts w:ascii="Calibri" w:eastAsia="Calibri" w:hAnsi="Calibri" w:cs="Times New Roman"/>
          <w:color w:val="767171"/>
          <w:szCs w:val="27"/>
          <w:lang w:val="es-ES" w:eastAsia="es-ES"/>
        </w:rPr>
      </w:pPr>
    </w:p>
    <w:p w:rsidR="00E92281" w:rsidRPr="00E92281" w:rsidRDefault="00E92281" w:rsidP="00E92281">
      <w:pPr>
        <w:spacing w:after="120" w:line="480" w:lineRule="auto"/>
        <w:ind w:left="283"/>
        <w:rPr>
          <w:rFonts w:ascii="Calibri" w:eastAsia="Calibri" w:hAnsi="Calibri" w:cs="Times New Roman"/>
          <w:color w:val="767171"/>
          <w:sz w:val="26"/>
          <w:szCs w:val="24"/>
          <w:lang w:val="es-ES" w:eastAsia="es-ES"/>
        </w:rPr>
      </w:pPr>
      <w:r w:rsidRPr="00E92281">
        <w:rPr>
          <w:rFonts w:ascii="Calibri" w:eastAsia="Calibri" w:hAnsi="Calibri" w:cs="Times New Roman"/>
          <w:color w:val="767171"/>
          <w:sz w:val="26"/>
          <w:szCs w:val="24"/>
          <w:lang w:val="es-ES" w:eastAsia="es-ES"/>
        </w:rPr>
        <w:t xml:space="preserve">De lo expuesto en el escrito de demanda, así como de las constancias que integran la presente causa administrativa, se desprende lo siguiente: . . . . . . . . . . </w:t>
      </w:r>
    </w:p>
    <w:p w:rsidR="00E92281" w:rsidRPr="00E92281" w:rsidRDefault="00E92281" w:rsidP="00E92281">
      <w:pPr>
        <w:spacing w:after="120" w:line="480" w:lineRule="auto"/>
        <w:ind w:left="283"/>
        <w:rPr>
          <w:rFonts w:ascii="Calibri" w:eastAsia="Calibri" w:hAnsi="Calibri" w:cs="Times New Roman"/>
          <w:color w:val="767171"/>
          <w:sz w:val="26"/>
          <w:szCs w:val="24"/>
          <w:lang w:val="es-ES" w:eastAsia="es-ES"/>
        </w:rPr>
      </w:pPr>
    </w:p>
    <w:p w:rsidR="00E92281" w:rsidRPr="00E92281" w:rsidRDefault="00E92281" w:rsidP="00E92281">
      <w:pPr>
        <w:numPr>
          <w:ilvl w:val="0"/>
          <w:numId w:val="1"/>
        </w:numPr>
        <w:spacing w:after="0" w:line="240" w:lineRule="auto"/>
        <w:jc w:val="both"/>
        <w:rPr>
          <w:rFonts w:ascii="Calibri" w:eastAsia="Calibri" w:hAnsi="Calibri" w:cs="Times New Roman"/>
          <w:color w:val="767171"/>
          <w:sz w:val="26"/>
          <w:szCs w:val="24"/>
          <w:lang w:val="es-ES" w:eastAsia="es-ES"/>
        </w:rPr>
      </w:pPr>
      <w:r w:rsidRPr="00E92281">
        <w:rPr>
          <w:rFonts w:ascii="Calibri" w:eastAsia="Calibri" w:hAnsi="Calibri" w:cs="Times New Roman"/>
          <w:color w:val="767171"/>
          <w:sz w:val="26"/>
          <w:szCs w:val="24"/>
          <w:lang w:val="es-ES" w:eastAsia="es-ES"/>
        </w:rPr>
        <w:t xml:space="preserve">Que los ciudadanos *****, y *****, son copropietarios del  inmueble ubicado en la calle </w:t>
      </w:r>
      <w:r w:rsidRPr="00E92281">
        <w:rPr>
          <w:rFonts w:ascii="Calibri" w:eastAsia="Calibri" w:hAnsi="Calibri" w:cs="Times New Roman"/>
          <w:bCs/>
          <w:color w:val="767171"/>
          <w:sz w:val="26"/>
          <w:szCs w:val="24"/>
          <w:lang w:val="es-ES" w:eastAsia="es-ES"/>
        </w:rPr>
        <w:t>*****</w:t>
      </w:r>
      <w:r w:rsidRPr="00E92281">
        <w:rPr>
          <w:rFonts w:ascii="Calibri" w:eastAsia="Calibri" w:hAnsi="Calibri" w:cs="Times New Roman"/>
          <w:color w:val="767171"/>
          <w:sz w:val="26"/>
          <w:szCs w:val="24"/>
          <w:lang w:val="es-ES" w:eastAsia="es-ES"/>
        </w:rPr>
        <w:t xml:space="preserve">; con cuenta predial número: </w:t>
      </w:r>
      <w:r w:rsidRPr="00E92281">
        <w:rPr>
          <w:rFonts w:ascii="Calibri" w:eastAsia="Calibri" w:hAnsi="Calibri" w:cs="Times New Roman"/>
          <w:b/>
          <w:color w:val="767171"/>
          <w:sz w:val="26"/>
          <w:szCs w:val="24"/>
          <w:lang w:val="es-ES" w:eastAsia="es-ES"/>
        </w:rPr>
        <w:t>01-AA-08984-001</w:t>
      </w:r>
      <w:r w:rsidRPr="00E92281">
        <w:rPr>
          <w:rFonts w:ascii="Calibri" w:eastAsia="Calibri" w:hAnsi="Calibri" w:cs="Times New Roman"/>
          <w:color w:val="767171"/>
          <w:sz w:val="26"/>
          <w:szCs w:val="24"/>
          <w:lang w:val="es-ES" w:eastAsia="es-ES"/>
        </w:rPr>
        <w:t xml:space="preserve"> (cero-uno guion letra AA guion cero-ocho-nueve-ocho-cuatro-cero-cero-uno). . . . . . . . . . . . . . . . . . . . . .</w:t>
      </w:r>
    </w:p>
    <w:p w:rsidR="00E92281" w:rsidRPr="00E92281" w:rsidRDefault="00E92281" w:rsidP="00E92281">
      <w:pPr>
        <w:spacing w:after="120" w:line="480" w:lineRule="auto"/>
        <w:ind w:left="1068"/>
        <w:rPr>
          <w:rFonts w:ascii="Calibri" w:eastAsia="Calibri" w:hAnsi="Calibri" w:cs="Times New Roman"/>
          <w:color w:val="767171"/>
          <w:sz w:val="26"/>
          <w:szCs w:val="24"/>
          <w:lang w:val="es-ES" w:eastAsia="es-ES"/>
        </w:rPr>
      </w:pPr>
    </w:p>
    <w:p w:rsidR="00E92281" w:rsidRPr="00E92281" w:rsidRDefault="00E92281" w:rsidP="00E92281">
      <w:pPr>
        <w:numPr>
          <w:ilvl w:val="0"/>
          <w:numId w:val="1"/>
        </w:numPr>
        <w:spacing w:after="0" w:line="240" w:lineRule="auto"/>
        <w:jc w:val="both"/>
        <w:rPr>
          <w:rFonts w:ascii="Calibri" w:eastAsia="Calibri" w:hAnsi="Calibri" w:cs="Times New Roman"/>
          <w:color w:val="767171"/>
          <w:sz w:val="26"/>
          <w:szCs w:val="24"/>
          <w:lang w:val="es-ES" w:eastAsia="es-ES"/>
        </w:rPr>
      </w:pPr>
      <w:r w:rsidRPr="00E92281">
        <w:rPr>
          <w:rFonts w:ascii="Calibri" w:eastAsia="Calibri" w:hAnsi="Calibri" w:cs="Times New Roman"/>
          <w:color w:val="767171"/>
          <w:sz w:val="26"/>
          <w:szCs w:val="24"/>
          <w:lang w:val="es-ES" w:eastAsia="es-ES"/>
        </w:rPr>
        <w:t xml:space="preserve">Que el inmueble fue valuado el día 26 veintiséis de agosto del año 2010 dos mil diez, en la cantidad de </w:t>
      </w:r>
      <w:r w:rsidRPr="00E92281">
        <w:rPr>
          <w:rFonts w:ascii="Calibri" w:eastAsia="Calibri" w:hAnsi="Calibri" w:cs="Calibri"/>
          <w:bCs/>
          <w:iCs/>
          <w:color w:val="767171"/>
          <w:sz w:val="26"/>
          <w:szCs w:val="26"/>
          <w:lang w:val="es-ES" w:eastAsia="es-ES"/>
        </w:rPr>
        <w:t>$1’600,000.00 (Un millón seiscientos mil pesos 00/100 Moneda Nacional)</w:t>
      </w:r>
      <w:r w:rsidRPr="00E92281">
        <w:rPr>
          <w:rFonts w:ascii="Calibri" w:eastAsia="Calibri" w:hAnsi="Calibri" w:cs="Times New Roman"/>
          <w:color w:val="767171"/>
          <w:sz w:val="26"/>
          <w:szCs w:val="24"/>
          <w:lang w:val="es-ES" w:eastAsia="es-ES"/>
        </w:rPr>
        <w:t>; según se advierte del punto I, inciso a) (</w:t>
      </w:r>
      <w:r w:rsidRPr="00E92281">
        <w:rPr>
          <w:rFonts w:ascii="Calibri" w:eastAsia="Calibri" w:hAnsi="Calibri" w:cs="Times New Roman"/>
          <w:b/>
          <w:color w:val="767171"/>
          <w:sz w:val="26"/>
          <w:szCs w:val="24"/>
          <w:lang w:val="es-ES" w:eastAsia="es-ES"/>
        </w:rPr>
        <w:t>Base),</w:t>
      </w:r>
      <w:r w:rsidRPr="00E92281">
        <w:rPr>
          <w:rFonts w:ascii="Calibri" w:eastAsia="Calibri" w:hAnsi="Calibri" w:cs="Times New Roman"/>
          <w:color w:val="767171"/>
          <w:sz w:val="26"/>
          <w:szCs w:val="24"/>
          <w:lang w:val="es-ES" w:eastAsia="es-ES"/>
        </w:rPr>
        <w:t xml:space="preserve"> del propio documento determinante impugnado; valor que se fijó para el cálculo del impuesto del primer bimestre del año 2011 dos mil </w:t>
      </w:r>
      <w:r w:rsidRPr="00E92281">
        <w:rPr>
          <w:rFonts w:ascii="Calibri" w:eastAsia="Calibri" w:hAnsi="Calibri" w:cs="Times New Roman"/>
          <w:color w:val="767171"/>
          <w:sz w:val="26"/>
          <w:szCs w:val="24"/>
          <w:lang w:val="es-ES" w:eastAsia="es-ES"/>
        </w:rPr>
        <w:lastRenderedPageBreak/>
        <w:t>once, al segundo bimestre del 2013 dos mil trece . . . . . . . . . . . . . . . . . . . . . . . . . . . . . . . . . . . . . . . . . . . . . . . . . . . . .</w:t>
      </w:r>
    </w:p>
    <w:p w:rsidR="00E92281" w:rsidRPr="00E92281" w:rsidRDefault="00E92281" w:rsidP="00E92281">
      <w:pPr>
        <w:spacing w:after="120" w:line="480" w:lineRule="auto"/>
        <w:ind w:left="1068"/>
        <w:rPr>
          <w:rFonts w:ascii="Calibri" w:eastAsia="Calibri" w:hAnsi="Calibri" w:cs="Times New Roman"/>
          <w:color w:val="767171"/>
          <w:sz w:val="26"/>
          <w:szCs w:val="24"/>
          <w:lang w:val="es-ES" w:eastAsia="es-ES"/>
        </w:rPr>
      </w:pPr>
    </w:p>
    <w:p w:rsidR="00E92281" w:rsidRPr="00E92281" w:rsidRDefault="00E92281" w:rsidP="00E92281">
      <w:pPr>
        <w:numPr>
          <w:ilvl w:val="0"/>
          <w:numId w:val="1"/>
        </w:numPr>
        <w:spacing w:after="0" w:line="240" w:lineRule="auto"/>
        <w:jc w:val="both"/>
        <w:rPr>
          <w:rFonts w:ascii="Calibri" w:eastAsia="Calibri" w:hAnsi="Calibri" w:cs="Times New Roman"/>
          <w:color w:val="767171"/>
          <w:sz w:val="26"/>
          <w:szCs w:val="24"/>
          <w:lang w:val="es-ES" w:eastAsia="es-ES"/>
        </w:rPr>
      </w:pPr>
      <w:r w:rsidRPr="00E92281">
        <w:rPr>
          <w:rFonts w:ascii="Calibri" w:eastAsia="Calibri" w:hAnsi="Calibri" w:cs="Times New Roman"/>
          <w:color w:val="767171"/>
          <w:sz w:val="26"/>
          <w:szCs w:val="24"/>
          <w:lang w:val="es-ES" w:eastAsia="es-ES"/>
        </w:rPr>
        <w:t xml:space="preserve">Que con fecha 4 cuatro de abril del año 2013 </w:t>
      </w:r>
      <w:r w:rsidRPr="00E92281">
        <w:rPr>
          <w:rFonts w:ascii="Calibri" w:eastAsia="Calibri" w:hAnsi="Calibri" w:cs="Times New Roman"/>
          <w:bCs/>
          <w:color w:val="767171"/>
          <w:sz w:val="26"/>
          <w:szCs w:val="24"/>
          <w:lang w:val="es-ES" w:eastAsia="es-ES"/>
        </w:rPr>
        <w:t xml:space="preserve">dos mil trece, se elaboró un nuevo avalúo, fijándose en la cantidad de $1’800.000.00 (Un millón ochocientos mil pesos 00/100 Moneda Nacional), que debía corresponder al tercer bimestre del 2013 dos mil trece al cuarto bimestre del 2014 dos mil catorce; según se refiere en el inciso b de ese mismo punto del documento impugnado. . . . . . . . . . . . . . . . . . . . . . </w:t>
      </w:r>
    </w:p>
    <w:p w:rsidR="00E92281" w:rsidRPr="00E92281" w:rsidRDefault="00E92281" w:rsidP="00E92281">
      <w:pPr>
        <w:spacing w:after="120" w:line="480" w:lineRule="auto"/>
        <w:ind w:left="283"/>
        <w:rPr>
          <w:rFonts w:ascii="Calibri" w:eastAsia="Calibri" w:hAnsi="Calibri" w:cs="Times New Roman"/>
          <w:color w:val="767171"/>
          <w:sz w:val="26"/>
          <w:szCs w:val="24"/>
          <w:lang w:val="es-ES" w:eastAsia="es-ES"/>
        </w:rPr>
      </w:pPr>
    </w:p>
    <w:p w:rsidR="00E92281" w:rsidRPr="00E92281" w:rsidRDefault="00E92281" w:rsidP="00E92281">
      <w:pPr>
        <w:spacing w:after="120" w:line="480" w:lineRule="auto"/>
        <w:ind w:left="283"/>
        <w:rPr>
          <w:rFonts w:ascii="Calibri" w:eastAsia="Calibri" w:hAnsi="Calibri" w:cs="Times New Roman"/>
          <w:color w:val="767171"/>
          <w:sz w:val="26"/>
          <w:szCs w:val="24"/>
          <w:lang w:val="es-ES" w:eastAsia="es-ES"/>
        </w:rPr>
      </w:pPr>
      <w:r w:rsidRPr="00E92281">
        <w:rPr>
          <w:rFonts w:ascii="Calibri" w:eastAsia="Calibri" w:hAnsi="Calibri" w:cs="Times New Roman"/>
          <w:color w:val="767171"/>
          <w:sz w:val="26"/>
          <w:szCs w:val="24"/>
          <w:lang w:val="es-ES" w:eastAsia="es-ES"/>
        </w:rPr>
        <w:t xml:space="preserve">Así las cosas, el actor arguye que tal resolución es ilegal porque no se encuentra debidamente fundada y motivada; pues es confuso que se señale que el avalúo practicado en el año 2013 dos mil trece, rige para el tercer bimestre del 2011 dos mil once; como se señala en el inciso b del punto I del acto impugnado; así como que la notificación no se practicó conforme a Derecho. . . . . . . . . . . . . . . </w:t>
      </w:r>
    </w:p>
    <w:p w:rsidR="00E92281" w:rsidRPr="00E92281" w:rsidRDefault="00E92281" w:rsidP="00E92281">
      <w:pPr>
        <w:spacing w:after="120" w:line="480" w:lineRule="auto"/>
        <w:ind w:left="283"/>
        <w:rPr>
          <w:rFonts w:ascii="Calibri" w:eastAsia="Calibri" w:hAnsi="Calibri" w:cs="Times New Roman"/>
          <w:color w:val="767171"/>
          <w:sz w:val="26"/>
          <w:szCs w:val="24"/>
          <w:lang w:val="es-ES" w:eastAsia="es-ES"/>
        </w:rPr>
      </w:pPr>
    </w:p>
    <w:p w:rsidR="00E92281" w:rsidRPr="00E92281" w:rsidRDefault="00E92281" w:rsidP="00E92281">
      <w:pPr>
        <w:spacing w:after="120" w:line="480" w:lineRule="auto"/>
        <w:ind w:left="283"/>
        <w:rPr>
          <w:rFonts w:ascii="Calibri" w:eastAsia="Calibri" w:hAnsi="Calibri" w:cs="Times New Roman"/>
          <w:color w:val="767171"/>
          <w:sz w:val="26"/>
          <w:szCs w:val="24"/>
          <w:lang w:val="es-ES" w:eastAsia="es-ES"/>
        </w:rPr>
      </w:pPr>
      <w:r w:rsidRPr="00E92281">
        <w:rPr>
          <w:rFonts w:ascii="Calibri" w:eastAsia="Calibri" w:hAnsi="Calibri" w:cs="Times New Roman"/>
          <w:color w:val="767171"/>
          <w:sz w:val="26"/>
          <w:szCs w:val="24"/>
          <w:lang w:val="es-ES" w:eastAsia="es-ES"/>
        </w:rPr>
        <w:tab/>
        <w:t xml:space="preserve">A lo expresado por el justiciable, la autoridad demandada argumentó que son inoperantes e improcedentes los conceptos de impugnación; ya que se cumplió con lo establecido en los artículos 137 y 138 del Código de Procedimiento y Justicia Administrativa para el Estado y los Municipios de Guanajuato. . . . . . . . . . . . . . . . . . . . . . . . . . . . . . . . . . . . . . . . . . . . . . . . . . . . . . . . . . . </w:t>
      </w:r>
    </w:p>
    <w:p w:rsidR="00E92281" w:rsidRPr="00E92281" w:rsidRDefault="00E92281" w:rsidP="00E92281">
      <w:pPr>
        <w:spacing w:after="120" w:line="480" w:lineRule="auto"/>
        <w:ind w:left="283"/>
        <w:rPr>
          <w:rFonts w:ascii="Calibri" w:eastAsia="Calibri" w:hAnsi="Calibri" w:cs="Times New Roman"/>
          <w:color w:val="767171"/>
          <w:sz w:val="26"/>
          <w:szCs w:val="24"/>
          <w:lang w:val="es-ES" w:eastAsia="es-ES"/>
        </w:rPr>
      </w:pPr>
    </w:p>
    <w:p w:rsidR="00E92281" w:rsidRPr="00E92281" w:rsidRDefault="00E92281" w:rsidP="00E92281">
      <w:pPr>
        <w:spacing w:after="120" w:line="480" w:lineRule="auto"/>
        <w:ind w:left="283"/>
        <w:rPr>
          <w:rFonts w:ascii="Calibri" w:eastAsia="Calibri" w:hAnsi="Calibri" w:cs="Times New Roman"/>
          <w:color w:val="767171"/>
          <w:sz w:val="26"/>
          <w:szCs w:val="24"/>
          <w:lang w:val="es-ES" w:eastAsia="es-ES"/>
        </w:rPr>
      </w:pPr>
      <w:r w:rsidRPr="00E92281">
        <w:rPr>
          <w:rFonts w:ascii="Calibri" w:eastAsia="Calibri" w:hAnsi="Calibri" w:cs="Calibri"/>
          <w:color w:val="767171"/>
          <w:sz w:val="26"/>
          <w:szCs w:val="26"/>
          <w:lang w:val="es-ES" w:eastAsia="es-ES"/>
        </w:rPr>
        <w:lastRenderedPageBreak/>
        <w:t xml:space="preserve">Así las cosas, la </w:t>
      </w:r>
      <w:r w:rsidRPr="00E92281">
        <w:rPr>
          <w:rFonts w:ascii="Calibri" w:eastAsia="Calibri" w:hAnsi="Calibri" w:cs="Calibri"/>
          <w:i/>
          <w:color w:val="767171"/>
          <w:sz w:val="26"/>
          <w:szCs w:val="26"/>
          <w:lang w:val="es-ES" w:eastAsia="es-ES"/>
        </w:rPr>
        <w:t>“litis”</w:t>
      </w:r>
      <w:r w:rsidRPr="00E92281">
        <w:rPr>
          <w:rFonts w:ascii="Calibri" w:eastAsia="Calibri" w:hAnsi="Calibri" w:cs="Calibri"/>
          <w:color w:val="767171"/>
          <w:sz w:val="26"/>
          <w:szCs w:val="26"/>
          <w:lang w:val="es-ES" w:eastAsia="es-ES"/>
        </w:rPr>
        <w:t xml:space="preserve"> planteada se hace consistir en determinar la legalidad o ilegalidad del </w:t>
      </w:r>
      <w:r w:rsidRPr="00E92281">
        <w:rPr>
          <w:rFonts w:ascii="Calibri" w:eastAsia="Calibri" w:hAnsi="Calibri" w:cs="Times New Roman"/>
          <w:bCs/>
          <w:color w:val="767171"/>
          <w:sz w:val="26"/>
          <w:szCs w:val="24"/>
          <w:lang w:val="es-ES" w:eastAsia="es-ES"/>
        </w:rPr>
        <w:t>oficio con número</w:t>
      </w:r>
      <w:r w:rsidRPr="00E92281">
        <w:rPr>
          <w:rFonts w:ascii="Calibri" w:eastAsia="Calibri" w:hAnsi="Calibri" w:cs="Times New Roman"/>
          <w:b/>
          <w:bCs/>
          <w:color w:val="767171"/>
          <w:sz w:val="26"/>
          <w:szCs w:val="24"/>
          <w:lang w:val="es-ES" w:eastAsia="es-ES"/>
        </w:rPr>
        <w:t xml:space="preserve"> TML/DGI/7298/2014</w:t>
      </w:r>
      <w:r w:rsidRPr="00E92281">
        <w:rPr>
          <w:rFonts w:ascii="Calibri" w:eastAsia="Calibri" w:hAnsi="Calibri" w:cs="Times New Roman"/>
          <w:bCs/>
          <w:color w:val="767171"/>
          <w:sz w:val="26"/>
          <w:szCs w:val="24"/>
          <w:lang w:val="es-ES" w:eastAsia="es-ES"/>
        </w:rPr>
        <w:t>, de fecha 26 veintiséis de agosto del año 2014 dos mil catorce, por el cual se determinó un crédito fiscal por concepto del impuesto predial, respecto del inmueble ubicado en la calle *****; que incluye el impuesto predial, recargos y gastos de ejecución que ascienden en total a la cantidad de $34,561.68 (Treinta y cuatro mil quinientos sesenta y un pesos 68/100 Moneda Nacional). . . . . . . .</w:t>
      </w:r>
      <w:r w:rsidRPr="00E92281">
        <w:rPr>
          <w:rFonts w:ascii="Calibri" w:eastAsia="Calibri" w:hAnsi="Calibri" w:cs="Calibri"/>
          <w:color w:val="767171"/>
          <w:sz w:val="26"/>
          <w:szCs w:val="26"/>
          <w:lang w:val="es-ES" w:eastAsia="es-ES"/>
        </w:rPr>
        <w:t xml:space="preserve"> . . . . . . . . . . . . . . . . . . . . . . . . . . . . . . . . . . . . . . .</w:t>
      </w:r>
    </w:p>
    <w:p w:rsidR="00E92281" w:rsidRPr="00E92281" w:rsidRDefault="00E92281" w:rsidP="00E92281">
      <w:pPr>
        <w:spacing w:after="0" w:line="240" w:lineRule="auto"/>
        <w:jc w:val="both"/>
        <w:rPr>
          <w:rFonts w:ascii="Calibri" w:eastAsia="Calibri" w:hAnsi="Calibri" w:cs="Times New Roman"/>
          <w:color w:val="767171"/>
          <w:sz w:val="26"/>
          <w:szCs w:val="24"/>
          <w:lang w:eastAsia="es-ES"/>
        </w:rPr>
      </w:pPr>
    </w:p>
    <w:p w:rsidR="00E92281" w:rsidRPr="00E92281" w:rsidRDefault="00E92281" w:rsidP="00E92281">
      <w:pPr>
        <w:spacing w:after="0" w:line="240" w:lineRule="auto"/>
        <w:ind w:firstLine="708"/>
        <w:jc w:val="both"/>
        <w:rPr>
          <w:rFonts w:ascii="Calibri" w:eastAsia="Calibri" w:hAnsi="Calibri" w:cs="Times New Roman"/>
          <w:color w:val="767171"/>
          <w:sz w:val="26"/>
          <w:szCs w:val="24"/>
          <w:lang w:eastAsia="es-ES"/>
        </w:rPr>
      </w:pPr>
      <w:r w:rsidRPr="00E92281">
        <w:rPr>
          <w:rFonts w:ascii="Calibri" w:eastAsia="Calibri" w:hAnsi="Calibri" w:cs="Times New Roman"/>
          <w:b/>
          <w:bCs/>
          <w:i/>
          <w:iCs/>
          <w:color w:val="767171"/>
          <w:sz w:val="26"/>
          <w:szCs w:val="24"/>
          <w:lang w:eastAsia="es-ES"/>
        </w:rPr>
        <w:t>SEXTO.-</w:t>
      </w:r>
      <w:r w:rsidRPr="00E92281">
        <w:rPr>
          <w:rFonts w:ascii="Calibri" w:eastAsia="Calibri" w:hAnsi="Calibri" w:cs="Calibri"/>
          <w:bCs/>
          <w:iCs/>
          <w:color w:val="767171"/>
          <w:sz w:val="26"/>
          <w:szCs w:val="26"/>
          <w:lang w:eastAsia="es-ES"/>
        </w:rPr>
        <w:t xml:space="preserve">Así las cosas, se procede al estudio de los conceptos de impugnación hechos valer en contra de los actos impugnados; </w:t>
      </w:r>
      <w:r w:rsidRPr="00E92281">
        <w:rPr>
          <w:rFonts w:ascii="Calibri" w:eastAsia="Calibri" w:hAnsi="Calibri" w:cs="Calibri"/>
          <w:color w:val="767171"/>
          <w:sz w:val="26"/>
          <w:szCs w:val="26"/>
          <w:lang w:eastAsia="es-ES"/>
        </w:rPr>
        <w:t>a</w:t>
      </w:r>
      <w:r w:rsidRPr="00E92281">
        <w:rPr>
          <w:rFonts w:ascii="Calibri" w:eastAsia="Calibri" w:hAnsi="Calibri" w:cs="Times New Roman"/>
          <w:color w:val="767171"/>
          <w:sz w:val="26"/>
          <w:szCs w:val="24"/>
          <w:lang w:eastAsia="es-ES"/>
        </w:rPr>
        <w:t xml:space="preserve">plicando para ello, el principio de congruencia y exhaustividad que debe regir en toda sentencia; por lo que se analiza el </w:t>
      </w:r>
      <w:r w:rsidRPr="00E92281">
        <w:rPr>
          <w:rFonts w:ascii="Calibri" w:eastAsia="Calibri" w:hAnsi="Calibri" w:cs="Times New Roman"/>
          <w:b/>
          <w:color w:val="767171"/>
          <w:sz w:val="26"/>
          <w:szCs w:val="24"/>
          <w:lang w:eastAsia="es-ES"/>
        </w:rPr>
        <w:t xml:space="preserve">primer </w:t>
      </w:r>
      <w:r w:rsidRPr="00E92281">
        <w:rPr>
          <w:rFonts w:ascii="Calibri" w:eastAsia="Calibri" w:hAnsi="Calibri" w:cs="Times New Roman"/>
          <w:color w:val="767171"/>
          <w:sz w:val="26"/>
          <w:szCs w:val="24"/>
          <w:lang w:eastAsia="es-ES"/>
        </w:rPr>
        <w:t xml:space="preserve">concepto de impugnación, sin necesidad de transcribirlo en su totalidad, así como tampoco el restante; sirviendo para ello el criterio sostenido por el Tribunal Colegiado del Circuito del Poder Judicial de la Federación que se menciona en la siguiente Jurisprudencia: . . </w:t>
      </w:r>
    </w:p>
    <w:p w:rsidR="00E92281" w:rsidRPr="00E92281" w:rsidRDefault="00E92281" w:rsidP="00E92281">
      <w:pPr>
        <w:spacing w:after="0" w:line="240" w:lineRule="auto"/>
        <w:ind w:firstLine="708"/>
        <w:jc w:val="both"/>
        <w:rPr>
          <w:rFonts w:ascii="Calibri" w:eastAsia="Calibri" w:hAnsi="Calibri" w:cs="Times New Roman"/>
          <w:color w:val="767171"/>
          <w:sz w:val="26"/>
          <w:szCs w:val="24"/>
          <w:lang w:eastAsia="es-ES"/>
        </w:rPr>
      </w:pPr>
    </w:p>
    <w:p w:rsidR="00E92281" w:rsidRPr="00E92281" w:rsidRDefault="00E92281" w:rsidP="00E92281">
      <w:pPr>
        <w:spacing w:after="0" w:line="240" w:lineRule="auto"/>
        <w:ind w:firstLine="708"/>
        <w:jc w:val="both"/>
        <w:rPr>
          <w:rFonts w:ascii="Calibri" w:eastAsia="Calibri" w:hAnsi="Calibri" w:cs="Times New Roman"/>
          <w:i/>
          <w:iCs/>
          <w:color w:val="767171"/>
          <w:sz w:val="26"/>
          <w:szCs w:val="26"/>
          <w:lang w:val="es-ES" w:eastAsia="es-ES"/>
        </w:rPr>
      </w:pPr>
      <w:r w:rsidRPr="00E92281">
        <w:rPr>
          <w:rFonts w:ascii="Calibri" w:eastAsia="Calibri" w:hAnsi="Calibri" w:cs="Times New Roman"/>
          <w:b/>
          <w:i/>
          <w:iCs/>
          <w:color w:val="767171"/>
          <w:sz w:val="26"/>
          <w:szCs w:val="26"/>
          <w:lang w:val="es-ES" w:eastAsia="es-ES"/>
        </w:rPr>
        <w:t>“CONCEPTOS DE VIOLACIÓN. EL JUEZ NO ESTÁ OBLIGADO A TRANSCRIBIRLOS.</w:t>
      </w:r>
      <w:r w:rsidRPr="00E92281">
        <w:rPr>
          <w:rFonts w:ascii="Calibri" w:eastAsia="Calibri" w:hAnsi="Calibri" w:cs="Times New Roman"/>
          <w:i/>
          <w:iCs/>
          <w:color w:val="767171"/>
          <w:sz w:val="26"/>
          <w:szCs w:val="26"/>
          <w:lang w:val="es-ES" w:eastAsia="es-ES"/>
        </w:rPr>
        <w:t xml:space="preserve">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E92281">
        <w:rPr>
          <w:rFonts w:ascii="Calibri" w:eastAsia="Calibri" w:hAnsi="Calibri" w:cs="Times New Roman"/>
          <w:i/>
          <w:iCs/>
          <w:color w:val="767171"/>
          <w:sz w:val="20"/>
          <w:szCs w:val="20"/>
          <w:lang w:val="es-ES" w:eastAsia="es-ES"/>
        </w:rPr>
        <w:t>S</w:t>
      </w:r>
      <w:r w:rsidRPr="00E92281">
        <w:rPr>
          <w:rFonts w:ascii="Calibri" w:eastAsia="Calibri" w:hAnsi="Calibri" w:cs="Times New Roman"/>
          <w:color w:val="767171"/>
          <w:sz w:val="20"/>
          <w:szCs w:val="20"/>
          <w:lang w:val="es-ES" w:eastAsia="es-ES"/>
        </w:rPr>
        <w:t xml:space="preserve">EGUNDO TRIBUNAL COLEGIADO DEL SEXTO CIRCUITO. No. Registro: 196,477. Jurisprudencia, Materia(s): Común, Novena Época, Instancia: Tribunales Colegiados de Circuito, Fuente: Semanario Judicial de la </w:t>
      </w:r>
      <w:r w:rsidRPr="00E92281">
        <w:rPr>
          <w:rFonts w:ascii="Calibri" w:eastAsia="Calibri" w:hAnsi="Calibri" w:cs="David Transparent"/>
          <w:color w:val="767171"/>
          <w:sz w:val="20"/>
          <w:szCs w:val="20"/>
          <w:lang w:val="es-ES" w:eastAsia="es-ES"/>
        </w:rPr>
        <w:t>Federación</w:t>
      </w:r>
      <w:r w:rsidRPr="00E92281">
        <w:rPr>
          <w:rFonts w:ascii="Calibri" w:eastAsia="Calibri" w:hAnsi="Calibri" w:cs="Times New Roman"/>
          <w:color w:val="767171"/>
          <w:sz w:val="20"/>
          <w:szCs w:val="20"/>
          <w:lang w:val="es-ES" w:eastAsia="es-ES"/>
        </w:rPr>
        <w:t xml:space="preserve"> y su Gaceta. VII, Abril de 1998, Tesis: VI.2o. J/129. Página: 599</w:t>
      </w:r>
      <w:r w:rsidRPr="00E92281">
        <w:rPr>
          <w:rFonts w:ascii="Calibri" w:eastAsia="Calibri" w:hAnsi="Calibri" w:cs="Times New Roman"/>
          <w:color w:val="767171"/>
          <w:sz w:val="24"/>
          <w:szCs w:val="27"/>
          <w:lang w:val="es-ES" w:eastAsia="es-ES"/>
        </w:rPr>
        <w:t xml:space="preserve">. . . . . . . . . . . . . . . . . . . . . . . . . . . . . . . . </w:t>
      </w:r>
    </w:p>
    <w:p w:rsidR="00E92281" w:rsidRPr="00E92281" w:rsidRDefault="00E92281" w:rsidP="00E92281">
      <w:pPr>
        <w:spacing w:after="0" w:line="240" w:lineRule="auto"/>
        <w:ind w:firstLine="708"/>
        <w:jc w:val="right"/>
        <w:rPr>
          <w:rFonts w:ascii="Calibri" w:eastAsia="Calibri" w:hAnsi="Calibri" w:cs="Times New Roman"/>
          <w:b/>
          <w:color w:val="767171"/>
          <w:sz w:val="26"/>
          <w:szCs w:val="27"/>
          <w:lang w:val="es-ES" w:eastAsia="es-ES"/>
        </w:rPr>
      </w:pPr>
      <w:r w:rsidRPr="00E92281">
        <w:rPr>
          <w:rFonts w:ascii="Calibri" w:eastAsia="Calibri" w:hAnsi="Calibri" w:cs="Times New Roman"/>
          <w:b/>
          <w:color w:val="767171"/>
          <w:sz w:val="26"/>
          <w:szCs w:val="27"/>
          <w:lang w:val="es-ES" w:eastAsia="es-ES"/>
        </w:rPr>
        <w:t>Expediente número 620/2014-JN</w:t>
      </w:r>
    </w:p>
    <w:p w:rsidR="00E92281" w:rsidRPr="00E92281" w:rsidRDefault="00E92281" w:rsidP="00E92281">
      <w:pPr>
        <w:spacing w:after="0" w:line="240" w:lineRule="auto"/>
        <w:jc w:val="both"/>
        <w:rPr>
          <w:rFonts w:ascii="Calibri" w:eastAsia="Calibri" w:hAnsi="Calibri" w:cs="Times New Roman"/>
          <w:color w:val="767171"/>
          <w:sz w:val="26"/>
          <w:szCs w:val="27"/>
          <w:lang w:eastAsia="es-ES"/>
        </w:rPr>
      </w:pPr>
    </w:p>
    <w:p w:rsidR="00E92281" w:rsidRPr="00E92281" w:rsidRDefault="00E92281" w:rsidP="00E92281">
      <w:pPr>
        <w:spacing w:after="0" w:line="240" w:lineRule="auto"/>
        <w:ind w:firstLine="708"/>
        <w:jc w:val="both"/>
        <w:rPr>
          <w:rFonts w:ascii="Calibri" w:eastAsia="Calibri" w:hAnsi="Calibri" w:cs="Times New Roman"/>
          <w:color w:val="767171"/>
          <w:sz w:val="26"/>
          <w:szCs w:val="27"/>
          <w:lang w:eastAsia="es-ES"/>
        </w:rPr>
      </w:pPr>
      <w:r w:rsidRPr="00E92281">
        <w:rPr>
          <w:rFonts w:ascii="Calibri" w:eastAsia="Calibri" w:hAnsi="Calibri" w:cs="Times New Roman"/>
          <w:color w:val="767171"/>
          <w:sz w:val="26"/>
          <w:szCs w:val="27"/>
          <w:lang w:eastAsia="es-ES"/>
        </w:rPr>
        <w:t xml:space="preserve">Así las cosas, en el señalado concepto de impugnación contenido en el escrito de demanda (palpable a foja 3 tres a 7 siete); el actor </w:t>
      </w:r>
      <w:r w:rsidRPr="00E92281">
        <w:rPr>
          <w:rFonts w:ascii="Calibri" w:eastAsia="Calibri" w:hAnsi="Calibri" w:cs="Times New Roman"/>
          <w:i/>
          <w:color w:val="767171"/>
          <w:sz w:val="26"/>
          <w:szCs w:val="27"/>
          <w:lang w:eastAsia="es-ES"/>
        </w:rPr>
        <w:t>“grosso modo”,</w:t>
      </w:r>
      <w:r w:rsidRPr="00E92281">
        <w:rPr>
          <w:rFonts w:ascii="Calibri" w:eastAsia="Calibri" w:hAnsi="Calibri" w:cs="Times New Roman"/>
          <w:color w:val="767171"/>
          <w:sz w:val="26"/>
          <w:szCs w:val="27"/>
          <w:lang w:eastAsia="es-ES"/>
        </w:rPr>
        <w:t xml:space="preserve">  argumentó que la resolución que se impugna carece de la debida fundamentación </w:t>
      </w:r>
      <w:r w:rsidRPr="00E92281">
        <w:rPr>
          <w:rFonts w:ascii="Calibri" w:eastAsia="Calibri" w:hAnsi="Calibri" w:cs="Times New Roman"/>
          <w:color w:val="767171"/>
          <w:sz w:val="26"/>
          <w:szCs w:val="27"/>
          <w:lang w:eastAsia="es-ES"/>
        </w:rPr>
        <w:lastRenderedPageBreak/>
        <w:t xml:space="preserve">y motivación; expresando en el tercer párrafo de la foja 6 seis del expediente, que la resolución era confusa porque utiliza para calcular el impuesto para el año 2011 dos mil once, un valor fijado en el avalúo de fecha 4 cuatro de abril del 2013 dos mil trece; lo que estima contrario a Derecho, pues vulnera el contenido del artículo 168 de la Ley de Hacienda para los Municipios del Estado de Guanajuato, en lo que respecta a que una vez modificado el valor por la realización de un nuevo avalúo, este se aplicará a partir del siguiente bimestre; lo que dijo no ocurre en el caso en concreto, pues se estableció el monto del impuesto en base al valor del inmueble fijado con posterioridad. . . . . . </w:t>
      </w:r>
    </w:p>
    <w:p w:rsidR="00E92281" w:rsidRPr="00E92281" w:rsidRDefault="00E92281" w:rsidP="00E92281">
      <w:pPr>
        <w:spacing w:after="0" w:line="240" w:lineRule="auto"/>
        <w:jc w:val="both"/>
        <w:rPr>
          <w:rFonts w:ascii="Calibri" w:eastAsia="Calibri" w:hAnsi="Calibri" w:cs="Times New Roman"/>
          <w:i/>
          <w:iCs/>
          <w:color w:val="767171"/>
          <w:sz w:val="26"/>
          <w:szCs w:val="27"/>
          <w:lang w:eastAsia="es-ES"/>
        </w:rPr>
      </w:pPr>
    </w:p>
    <w:p w:rsidR="00E92281" w:rsidRPr="00E92281" w:rsidRDefault="00E92281" w:rsidP="00E92281">
      <w:pPr>
        <w:spacing w:after="120" w:line="240" w:lineRule="auto"/>
        <w:ind w:left="283"/>
        <w:rPr>
          <w:rFonts w:ascii="Times New Roman" w:eastAsia="Times New Roman" w:hAnsi="Times New Roman" w:cs="Times New Roman"/>
          <w:color w:val="767171"/>
          <w:sz w:val="16"/>
          <w:szCs w:val="26"/>
          <w:lang w:eastAsia="es-ES"/>
        </w:rPr>
      </w:pPr>
      <w:r w:rsidRPr="00E92281">
        <w:rPr>
          <w:rFonts w:ascii="Times New Roman" w:eastAsia="Times New Roman" w:hAnsi="Times New Roman" w:cs="Times New Roman"/>
          <w:color w:val="767171"/>
          <w:sz w:val="16"/>
          <w:szCs w:val="26"/>
          <w:lang w:val="es-ES" w:eastAsia="es-ES"/>
        </w:rPr>
        <w:t xml:space="preserve">Por su parte, la autoridad demandada, al contestar la demanda, sólo refirió que el acto administrativo del que se duele la parte actora, se encuentra debidamente fundado y motivado, atento a lo razonado en el mismo. . . . . . . . . . . </w:t>
      </w:r>
    </w:p>
    <w:p w:rsidR="00E92281" w:rsidRPr="00E92281" w:rsidRDefault="00E92281" w:rsidP="00E92281">
      <w:pPr>
        <w:spacing w:after="0" w:line="240" w:lineRule="auto"/>
        <w:rPr>
          <w:rFonts w:ascii="Times New Roman" w:eastAsia="Times New Roman" w:hAnsi="Times New Roman" w:cs="Times New Roman"/>
          <w:color w:val="767171"/>
          <w:sz w:val="24"/>
          <w:szCs w:val="24"/>
          <w:lang w:eastAsia="es-ES"/>
        </w:rPr>
      </w:pPr>
    </w:p>
    <w:p w:rsidR="00E92281" w:rsidRPr="00E92281" w:rsidRDefault="00E92281" w:rsidP="00E92281">
      <w:pPr>
        <w:spacing w:after="120" w:line="480" w:lineRule="auto"/>
        <w:ind w:left="283"/>
        <w:rPr>
          <w:rFonts w:ascii="Calibri" w:eastAsia="Calibri" w:hAnsi="Calibri" w:cs="Times New Roman"/>
          <w:bCs/>
          <w:color w:val="767171"/>
          <w:sz w:val="26"/>
          <w:szCs w:val="24"/>
          <w:lang w:val="es-ES" w:eastAsia="es-ES"/>
        </w:rPr>
      </w:pPr>
      <w:r w:rsidRPr="00E92281">
        <w:rPr>
          <w:rFonts w:ascii="Calibri" w:eastAsia="Calibri" w:hAnsi="Calibri" w:cs="Times New Roman"/>
          <w:bCs/>
          <w:color w:val="767171"/>
          <w:sz w:val="26"/>
          <w:szCs w:val="24"/>
          <w:lang w:val="es-ES" w:eastAsia="es-ES"/>
        </w:rPr>
        <w:t xml:space="preserve">Una vez analizado el oficio con número TML/DGI/7298/2014, de fecha 26 veintiséis de agosto del año 2014 dos mil catorce, por el cual se determinaron créditos fiscales por concepto del impuesto predial, respecto del inmueble ubicado en la calle *****, así como las constancias de autos, se advierte que la determinación del crédito impugnada, de fecha ya indicada, es en efecto ilegal, pues se incumple con lo que establece el artículo 137, en su fracción VI, del Código de Procedimiento y Justicia Administrativa aplicable al caso en concreto; pues no se encuentra debidamente fundada la resolución impugnada, dado que en efecto, tal y como lo estableció el actor en su escrito de demanda, el Tesorero Municipal incurrió en una deficiente motivación, generando confusión en el contribuyente, al redactar el documento determinante del crédito, en el sentido de que el inmueble fue valuado el día 26 veintiséis de agosto del año 2010 dos mil diez, fijándose en la cantidad de $1’600,000.00 (Un millón seiscientos mil pesos 00/100 Moneda Nacional); según se advierte del punto I, inciso a) (Base), </w:t>
      </w:r>
      <w:r w:rsidRPr="00E92281">
        <w:rPr>
          <w:rFonts w:ascii="Calibri" w:eastAsia="Calibri" w:hAnsi="Calibri" w:cs="Times New Roman"/>
          <w:bCs/>
          <w:color w:val="767171"/>
          <w:sz w:val="26"/>
          <w:szCs w:val="24"/>
          <w:lang w:val="es-ES" w:eastAsia="es-ES"/>
        </w:rPr>
        <w:lastRenderedPageBreak/>
        <w:t xml:space="preserve">del propio documento determinante impugnado; valor que se fijó para el cálculo del impuesto del primer bimestre del año 2011 dos mil once, al segundo bimestre del 2013 dos mil trece; para enseguida, en el inciso siguiente señala que con fecha 4 cuatro de abril del año 2013 dos mil trece, se elaboró un nuevo avalúo, fijándose en la cantidad de $1’800.000.00 (Un millón ochocientos mil pesos 00/100 Moneda Nacional), correspondiente al tercer bimestre del año 2011 dos mil once al cuarto bimestre del 2014 dos mil catorce; según se refiere en el inciso b de ese mismo punto del documento impugnado. . . . . . . . . . . . . . . . . . . . . . . . . . . . . . . . . . </w:t>
      </w:r>
    </w:p>
    <w:p w:rsidR="00E92281" w:rsidRPr="00E92281" w:rsidRDefault="00E92281" w:rsidP="00E92281">
      <w:pPr>
        <w:spacing w:after="120" w:line="480" w:lineRule="auto"/>
        <w:ind w:left="283"/>
        <w:rPr>
          <w:rFonts w:ascii="Calibri" w:eastAsia="Calibri" w:hAnsi="Calibri" w:cs="Times New Roman"/>
          <w:bCs/>
          <w:color w:val="767171"/>
          <w:sz w:val="26"/>
          <w:szCs w:val="24"/>
          <w:lang w:val="es-ES" w:eastAsia="es-ES"/>
        </w:rPr>
      </w:pPr>
    </w:p>
    <w:p w:rsidR="00E92281" w:rsidRPr="00E92281" w:rsidRDefault="00E92281" w:rsidP="00E92281">
      <w:pPr>
        <w:spacing w:after="120" w:line="240" w:lineRule="auto"/>
        <w:ind w:firstLine="708"/>
        <w:jc w:val="both"/>
        <w:rPr>
          <w:rFonts w:ascii="Calibri" w:eastAsia="Calibri" w:hAnsi="Calibri" w:cs="Calibri"/>
          <w:bCs/>
          <w:iCs/>
          <w:color w:val="767171"/>
          <w:sz w:val="20"/>
          <w:szCs w:val="20"/>
          <w:lang w:val="es-ES" w:eastAsia="es-ES"/>
        </w:rPr>
      </w:pPr>
      <w:r w:rsidRPr="00E92281">
        <w:rPr>
          <w:rFonts w:ascii="Calibri" w:eastAsia="Calibri" w:hAnsi="Calibri" w:cs="Times New Roman"/>
          <w:bCs/>
          <w:color w:val="767171"/>
          <w:sz w:val="26"/>
          <w:szCs w:val="24"/>
          <w:lang w:val="es-ES" w:eastAsia="es-ES"/>
        </w:rPr>
        <w:t xml:space="preserve">Lo que evidentemente es un error, que deja en estado de indefensión al actor, pues con tal redacción, no puede saber a ciencia cierta, cuál era el valor que correspondía al año 2011 dos mil once, si el señalado en el inciso a o el señalado en el inciso b, de la fracción I referente a la base, del documento impugnado, pues ambos incisos se refieren al año 2011 dos mil once, en el primer caso respecto del primer bimestre, y en el segundo, señala que a partir del tercer bimestre de ese año; lo que se trata evidentemente o de un error o de una incorrecta interpretación y aplicación de la Ley de Hacienda para los Municipios del Estado de Guanajuato y de la ley de ingresos aplicable; pero que provoca una confusión en la parte actora, al desconocer cual valor era pues el aplicable para cada uno de los bimestres señalados. . . . . . . . . . . . . . . . . . . . . . . . . . </w:t>
      </w:r>
    </w:p>
    <w:p w:rsidR="00E92281" w:rsidRPr="00E92281" w:rsidRDefault="00E92281" w:rsidP="00E92281">
      <w:pPr>
        <w:spacing w:after="0" w:line="240" w:lineRule="auto"/>
        <w:jc w:val="both"/>
        <w:rPr>
          <w:rFonts w:ascii="Calibri" w:eastAsia="Calibri" w:hAnsi="Calibri" w:cs="Times New Roman"/>
          <w:color w:val="767171"/>
          <w:sz w:val="26"/>
          <w:szCs w:val="27"/>
          <w:lang w:eastAsia="es-ES"/>
        </w:rPr>
      </w:pPr>
    </w:p>
    <w:p w:rsidR="00E92281" w:rsidRPr="00E92281" w:rsidRDefault="00E92281" w:rsidP="00E92281">
      <w:pPr>
        <w:spacing w:after="0" w:line="240" w:lineRule="auto"/>
        <w:ind w:firstLine="708"/>
        <w:jc w:val="both"/>
        <w:rPr>
          <w:rFonts w:ascii="Calibri" w:eastAsia="Calibri" w:hAnsi="Calibri" w:cs="Times New Roman"/>
          <w:color w:val="767171"/>
          <w:sz w:val="26"/>
          <w:szCs w:val="27"/>
          <w:lang w:eastAsia="es-ES"/>
        </w:rPr>
      </w:pPr>
      <w:r w:rsidRPr="00E92281">
        <w:rPr>
          <w:rFonts w:ascii="Calibri" w:eastAsia="Calibri" w:hAnsi="Calibri" w:cs="Times New Roman"/>
          <w:color w:val="767171"/>
          <w:sz w:val="26"/>
          <w:szCs w:val="27"/>
          <w:lang w:eastAsia="es-ES"/>
        </w:rPr>
        <w:t xml:space="preserve">Lo que implica a su vez, como bien lo refirió el actor, que no aplicó la autoridad demandada, lo dispuesto en el artículo 168 en su segundo párrafo, de la Ley de Hacienda para los Municipios del Estado de Guanajuato, en lo relativo a que los avalúos que se practiquen, se aplicarán a partir del siguiente bimestre de su elaboración, lo que corrobora la deficiente motivación de la resolución impugnada y que amerita su nulidad total. . . . . . . . . . . . . . . . . . . . . . . . . . . . . . . . . . </w:t>
      </w:r>
    </w:p>
    <w:p w:rsidR="00E92281" w:rsidRPr="00E92281" w:rsidRDefault="00E92281" w:rsidP="00E92281">
      <w:pPr>
        <w:spacing w:after="0" w:line="240" w:lineRule="auto"/>
        <w:ind w:firstLine="708"/>
        <w:jc w:val="both"/>
        <w:rPr>
          <w:rFonts w:ascii="Calibri" w:eastAsia="Calibri" w:hAnsi="Calibri" w:cs="Times New Roman"/>
          <w:color w:val="767171"/>
          <w:sz w:val="26"/>
          <w:szCs w:val="27"/>
          <w:lang w:eastAsia="es-ES"/>
        </w:rPr>
      </w:pPr>
    </w:p>
    <w:p w:rsidR="00E92281" w:rsidRPr="00E92281" w:rsidRDefault="00E92281" w:rsidP="00E92281">
      <w:pPr>
        <w:spacing w:after="0" w:line="240" w:lineRule="auto"/>
        <w:ind w:firstLine="708"/>
        <w:jc w:val="both"/>
        <w:rPr>
          <w:rFonts w:ascii="Calibri" w:eastAsia="Calibri" w:hAnsi="Calibri" w:cs="Times New Roman"/>
          <w:i/>
          <w:iCs/>
          <w:color w:val="767171"/>
          <w:sz w:val="26"/>
          <w:szCs w:val="27"/>
          <w:lang w:val="es-ES" w:eastAsia="es-ES"/>
        </w:rPr>
      </w:pPr>
      <w:r w:rsidRPr="00E92281">
        <w:rPr>
          <w:rFonts w:ascii="Calibri" w:eastAsia="Calibri" w:hAnsi="Calibri" w:cs="Times New Roman"/>
          <w:color w:val="767171"/>
          <w:sz w:val="26"/>
          <w:szCs w:val="27"/>
          <w:lang w:val="es-ES" w:eastAsia="es-ES"/>
        </w:rPr>
        <w:lastRenderedPageBreak/>
        <w:t xml:space="preserve">Al respecto cabe precisar que por la debida </w:t>
      </w:r>
      <w:r w:rsidRPr="00E92281">
        <w:rPr>
          <w:rFonts w:ascii="Calibri" w:eastAsia="Calibri" w:hAnsi="Calibri" w:cs="Times New Roman"/>
          <w:i/>
          <w:iCs/>
          <w:color w:val="767171"/>
          <w:sz w:val="26"/>
          <w:szCs w:val="27"/>
          <w:lang w:val="es-ES" w:eastAsia="es-ES"/>
        </w:rPr>
        <w:t xml:space="preserve">motivación </w:t>
      </w:r>
      <w:r w:rsidRPr="00E92281">
        <w:rPr>
          <w:rFonts w:ascii="Calibri" w:eastAsia="Calibri" w:hAnsi="Calibri" w:cs="Times New Roman"/>
          <w:color w:val="767171"/>
          <w:sz w:val="26"/>
          <w:szCs w:val="27"/>
          <w:lang w:val="es-ES" w:eastAsia="es-ES"/>
        </w:rPr>
        <w:t xml:space="preserve">debe entenderse como </w:t>
      </w:r>
      <w:r w:rsidRPr="00E92281">
        <w:rPr>
          <w:rFonts w:ascii="Calibri" w:eastAsia="Calibri" w:hAnsi="Calibri" w:cs="Times New Roman"/>
          <w:i/>
          <w:iCs/>
          <w:color w:val="767171"/>
          <w:sz w:val="26"/>
          <w:szCs w:val="27"/>
          <w:lang w:val="es-ES" w:eastAsia="es-ES"/>
        </w:rPr>
        <w:t>las razones, motivos o circunstancias especiales que llevaron a la autoridad a concluir que el caso particular encuadra en el supuesto previsto por la norma legal invocada como fundamento</w:t>
      </w:r>
      <w:r w:rsidRPr="00E92281">
        <w:rPr>
          <w:rFonts w:ascii="Calibri" w:eastAsia="Calibri" w:hAnsi="Calibri" w:cs="Times New Roman"/>
          <w:color w:val="767171"/>
          <w:sz w:val="26"/>
          <w:szCs w:val="27"/>
          <w:lang w:val="es-ES" w:eastAsia="es-ES"/>
        </w:rPr>
        <w:t xml:space="preserve">; y por fundamentación: </w:t>
      </w:r>
      <w:r w:rsidRPr="00E92281">
        <w:rPr>
          <w:rFonts w:ascii="Calibri" w:eastAsia="Calibri" w:hAnsi="Calibri" w:cs="Times New Roman"/>
          <w:i/>
          <w:iCs/>
          <w:color w:val="767171"/>
          <w:sz w:val="26"/>
          <w:szCs w:val="27"/>
          <w:lang w:val="es-ES" w:eastAsia="es-ES"/>
        </w:rPr>
        <w:t>“la cita del precepto exactamente aplicable al caso concreto, citando el párrafo, fracción o inciso pertinente.”</w:t>
      </w:r>
      <w:r w:rsidRPr="00E92281">
        <w:rPr>
          <w:rFonts w:ascii="Calibri" w:eastAsia="Calibri" w:hAnsi="Calibri" w:cs="Times New Roman"/>
          <w:color w:val="767171"/>
          <w:sz w:val="26"/>
          <w:szCs w:val="27"/>
          <w:lang w:val="es-ES" w:eastAsia="es-ES"/>
        </w:rPr>
        <w:t xml:space="preserve"> . . . . . . . . . . . . . . . . . . . . . . . . . . . . . . . . . . . . . . . . . . . . . . . . . . . . . . . . . . </w:t>
      </w:r>
    </w:p>
    <w:p w:rsidR="00E92281" w:rsidRPr="00E92281" w:rsidRDefault="00E92281" w:rsidP="00E92281">
      <w:pPr>
        <w:spacing w:after="0" w:line="240" w:lineRule="auto"/>
        <w:ind w:firstLine="708"/>
        <w:jc w:val="both"/>
        <w:rPr>
          <w:rFonts w:ascii="Calibri" w:eastAsia="Calibri" w:hAnsi="Calibri" w:cs="Times New Roman"/>
          <w:color w:val="767171"/>
          <w:sz w:val="16"/>
          <w:szCs w:val="16"/>
          <w:lang w:val="es-ES" w:eastAsia="es-ES"/>
        </w:rPr>
      </w:pPr>
    </w:p>
    <w:p w:rsidR="00E92281" w:rsidRPr="00E92281" w:rsidRDefault="00E92281" w:rsidP="00E92281">
      <w:pPr>
        <w:spacing w:after="0" w:line="240" w:lineRule="auto"/>
        <w:ind w:firstLine="708"/>
        <w:jc w:val="both"/>
        <w:rPr>
          <w:rFonts w:ascii="Calibri" w:eastAsia="Calibri" w:hAnsi="Calibri" w:cs="Courier New"/>
          <w:color w:val="767171"/>
          <w:sz w:val="26"/>
          <w:szCs w:val="27"/>
          <w:lang w:val="es-ES" w:eastAsia="es-ES"/>
        </w:rPr>
      </w:pPr>
      <w:r w:rsidRPr="00E92281">
        <w:rPr>
          <w:rFonts w:ascii="Calibri" w:eastAsia="Calibri" w:hAnsi="Calibri" w:cs="Courier New"/>
          <w:color w:val="767171"/>
          <w:sz w:val="26"/>
          <w:szCs w:val="27"/>
          <w:lang w:val="es-ES" w:eastAsia="es-ES"/>
        </w:rPr>
        <w:t xml:space="preserve">Al caso resulta aplicable la tesis de Jurisprudencia siguiente: . . . . . . . . . . . . </w:t>
      </w:r>
    </w:p>
    <w:p w:rsidR="00E92281" w:rsidRPr="00E92281" w:rsidRDefault="00E92281" w:rsidP="00E92281">
      <w:pPr>
        <w:spacing w:after="0" w:line="240" w:lineRule="auto"/>
        <w:jc w:val="both"/>
        <w:rPr>
          <w:rFonts w:ascii="Calibri" w:eastAsia="Calibri" w:hAnsi="Calibri" w:cs="Times New Roman"/>
          <w:color w:val="767171"/>
          <w:sz w:val="16"/>
          <w:szCs w:val="16"/>
          <w:lang w:val="es-ES" w:eastAsia="es-ES"/>
        </w:rPr>
      </w:pPr>
    </w:p>
    <w:p w:rsidR="00E92281" w:rsidRPr="00E92281" w:rsidRDefault="00E92281" w:rsidP="00E92281">
      <w:pPr>
        <w:spacing w:after="0" w:line="240" w:lineRule="auto"/>
        <w:ind w:firstLine="708"/>
        <w:jc w:val="both"/>
        <w:rPr>
          <w:rFonts w:ascii="Calibri" w:eastAsia="Calibri" w:hAnsi="Calibri" w:cs="Times New Roman"/>
          <w:color w:val="767171"/>
          <w:sz w:val="26"/>
          <w:szCs w:val="27"/>
          <w:lang w:val="es-ES" w:eastAsia="es-ES"/>
        </w:rPr>
      </w:pPr>
      <w:r w:rsidRPr="00E92281">
        <w:rPr>
          <w:rFonts w:ascii="Calibri" w:eastAsia="Calibri" w:hAnsi="Calibri" w:cs="Times New Roman"/>
          <w:b/>
          <w:bCs/>
          <w:i/>
          <w:iCs/>
          <w:color w:val="767171"/>
          <w:sz w:val="26"/>
          <w:szCs w:val="27"/>
          <w:lang w:val="es-ES" w:eastAsia="es-ES"/>
        </w:rPr>
        <w:t>“FUNDAMENTACION Y MOTIVACION</w:t>
      </w:r>
      <w:r w:rsidRPr="00E92281">
        <w:rPr>
          <w:rFonts w:ascii="Calibri" w:eastAsia="Calibri" w:hAnsi="Calibri" w:cs="Times New Roman"/>
          <w:i/>
          <w:iCs/>
          <w:color w:val="767171"/>
          <w:sz w:val="26"/>
          <w:szCs w:val="27"/>
          <w:lang w:val="es-ES" w:eastAsia="es-ES"/>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w:t>
      </w:r>
      <w:r w:rsidRPr="00E92281">
        <w:rPr>
          <w:rFonts w:ascii="Calibri" w:eastAsia="Calibri" w:hAnsi="Calibri" w:cs="Times New Roman"/>
          <w:i/>
          <w:iCs/>
          <w:color w:val="767171"/>
          <w:lang w:val="es-ES" w:eastAsia="es-ES"/>
        </w:rPr>
        <w:t>N</w:t>
      </w:r>
      <w:r w:rsidRPr="00E92281">
        <w:rPr>
          <w:rFonts w:ascii="Calibri" w:eastAsia="Calibri" w:hAnsi="Calibri" w:cs="Times New Roman"/>
          <w:color w:val="767171"/>
          <w:lang w:val="es-ES" w:eastAsia="es-ES"/>
        </w:rPr>
        <w:t>o. de Registro: 203,143. Jurisprudencia. Materia(s): Común. Novena Época. Instancia: Tribunales Colegiados de Circuito. Fuente: Semanario Judicial de la Federación y su Gaceta. Tomo: III, Marzo de 1996. Tesis: VI. 2o. J/43. Página: 769</w:t>
      </w:r>
      <w:r w:rsidRPr="00E92281">
        <w:rPr>
          <w:rFonts w:ascii="Calibri" w:eastAsia="Calibri" w:hAnsi="Calibri" w:cs="Times New Roman"/>
          <w:color w:val="767171"/>
          <w:sz w:val="26"/>
          <w:szCs w:val="27"/>
          <w:lang w:val="es-ES" w:eastAsia="es-ES"/>
        </w:rPr>
        <w:t xml:space="preserve">. . . . . . . . . . . . . . . . . . . . . . . . . . . . . . . . . . . . </w:t>
      </w:r>
    </w:p>
    <w:p w:rsidR="00E92281" w:rsidRPr="00E92281" w:rsidRDefault="00E92281" w:rsidP="00E92281">
      <w:pPr>
        <w:spacing w:after="0" w:line="240" w:lineRule="auto"/>
        <w:jc w:val="both"/>
        <w:rPr>
          <w:rFonts w:ascii="Calibri" w:eastAsia="Calibri" w:hAnsi="Calibri" w:cs="Arial"/>
          <w:color w:val="767171"/>
          <w:sz w:val="26"/>
          <w:szCs w:val="26"/>
          <w:lang w:eastAsia="es-ES"/>
        </w:rPr>
      </w:pPr>
    </w:p>
    <w:p w:rsidR="00E92281" w:rsidRPr="00E92281" w:rsidRDefault="00E92281" w:rsidP="00E92281">
      <w:pPr>
        <w:spacing w:after="0" w:line="240" w:lineRule="auto"/>
        <w:ind w:firstLine="708"/>
        <w:jc w:val="both"/>
        <w:rPr>
          <w:rFonts w:ascii="Calibri" w:eastAsia="Calibri" w:hAnsi="Calibri" w:cs="Times New Roman"/>
          <w:color w:val="767171"/>
          <w:sz w:val="26"/>
          <w:szCs w:val="26"/>
          <w:lang w:eastAsia="es-ES"/>
        </w:rPr>
      </w:pPr>
      <w:r w:rsidRPr="00E92281">
        <w:rPr>
          <w:rFonts w:ascii="Calibri" w:eastAsia="Calibri" w:hAnsi="Calibri" w:cs="Arial"/>
          <w:color w:val="767171"/>
          <w:sz w:val="26"/>
          <w:szCs w:val="26"/>
          <w:lang w:eastAsia="es-ES"/>
        </w:rPr>
        <w:t>Es por todo lo antes razonado y sustentado, que se considera fu</w:t>
      </w:r>
      <w:r w:rsidRPr="00E92281">
        <w:rPr>
          <w:rFonts w:ascii="Calibri" w:eastAsia="Calibri" w:hAnsi="Calibri" w:cs="Arial"/>
          <w:bCs/>
          <w:color w:val="767171"/>
          <w:sz w:val="26"/>
          <w:szCs w:val="26"/>
          <w:lang w:eastAsia="es-ES"/>
        </w:rPr>
        <w:t xml:space="preserve">ndado </w:t>
      </w:r>
      <w:r w:rsidRPr="00E92281">
        <w:rPr>
          <w:rFonts w:ascii="Calibri" w:eastAsia="Calibri" w:hAnsi="Calibri" w:cs="Arial"/>
          <w:color w:val="767171"/>
          <w:sz w:val="26"/>
          <w:szCs w:val="26"/>
          <w:lang w:eastAsia="es-ES"/>
        </w:rPr>
        <w:t xml:space="preserve">lo argumentado por la parte actora en el concepto de impugnación en examen; pues está demostrado que el acto administrativo impugnado, se encuentra deficientemente motivado, por lo que al resultar </w:t>
      </w:r>
      <w:r w:rsidRPr="00E92281">
        <w:rPr>
          <w:rFonts w:ascii="Calibri" w:eastAsia="Calibri" w:hAnsi="Calibri" w:cs="Arial"/>
          <w:b/>
          <w:bCs/>
          <w:color w:val="767171"/>
          <w:sz w:val="26"/>
          <w:szCs w:val="26"/>
          <w:lang w:eastAsia="es-ES"/>
        </w:rPr>
        <w:t>fundado</w:t>
      </w:r>
      <w:r w:rsidRPr="00E92281">
        <w:rPr>
          <w:rFonts w:ascii="Calibri" w:eastAsia="Calibri" w:hAnsi="Calibri" w:cs="Arial"/>
          <w:color w:val="767171"/>
          <w:sz w:val="26"/>
          <w:szCs w:val="26"/>
          <w:lang w:eastAsia="es-ES"/>
        </w:rPr>
        <w:t xml:space="preserve"> el concepto de impugnación analizado; con fundamento en la fracción II del artículo 302 del Código de Procedimiento y Justicia Administrativa para el Estado y los Municipios de Guanajuato, y en los términos de la fracción II del artículo 300 del citado Código, se declara la </w:t>
      </w:r>
      <w:r w:rsidRPr="00E92281">
        <w:rPr>
          <w:rFonts w:ascii="Calibri" w:eastAsia="Calibri" w:hAnsi="Calibri" w:cs="Arial"/>
          <w:b/>
          <w:color w:val="767171"/>
          <w:sz w:val="26"/>
          <w:szCs w:val="26"/>
          <w:lang w:eastAsia="es-ES"/>
        </w:rPr>
        <w:t xml:space="preserve">nulidad total </w:t>
      </w:r>
      <w:r w:rsidRPr="00E92281">
        <w:rPr>
          <w:rFonts w:ascii="Calibri" w:eastAsia="Calibri" w:hAnsi="Calibri" w:cs="Arial"/>
          <w:color w:val="767171"/>
          <w:sz w:val="26"/>
          <w:szCs w:val="26"/>
          <w:lang w:eastAsia="es-ES"/>
        </w:rPr>
        <w:t xml:space="preserve">del </w:t>
      </w:r>
      <w:r w:rsidRPr="00E92281">
        <w:rPr>
          <w:rFonts w:ascii="Calibri" w:eastAsia="Calibri" w:hAnsi="Calibri" w:cs="Times New Roman"/>
          <w:bCs/>
          <w:color w:val="767171"/>
          <w:sz w:val="26"/>
          <w:szCs w:val="27"/>
          <w:lang w:eastAsia="es-ES"/>
        </w:rPr>
        <w:t>oficio con número</w:t>
      </w:r>
      <w:r w:rsidRPr="00E92281">
        <w:rPr>
          <w:rFonts w:ascii="Calibri" w:eastAsia="Calibri" w:hAnsi="Calibri" w:cs="Times New Roman"/>
          <w:b/>
          <w:bCs/>
          <w:color w:val="767171"/>
          <w:sz w:val="26"/>
          <w:szCs w:val="27"/>
          <w:lang w:eastAsia="es-ES"/>
        </w:rPr>
        <w:t xml:space="preserve"> TML/DGI/7298/2014, </w:t>
      </w:r>
      <w:r w:rsidRPr="00E92281">
        <w:rPr>
          <w:rFonts w:ascii="Calibri" w:eastAsia="Calibri" w:hAnsi="Calibri" w:cs="Times New Roman"/>
          <w:bCs/>
          <w:color w:val="767171"/>
          <w:sz w:val="26"/>
          <w:szCs w:val="27"/>
          <w:lang w:eastAsia="es-ES"/>
        </w:rPr>
        <w:t xml:space="preserve">denominado </w:t>
      </w:r>
      <w:r w:rsidRPr="00E92281">
        <w:rPr>
          <w:rFonts w:ascii="Calibri" w:eastAsia="Calibri" w:hAnsi="Calibri" w:cs="Times New Roman"/>
          <w:b/>
          <w:bCs/>
          <w:color w:val="767171"/>
          <w:sz w:val="26"/>
          <w:szCs w:val="27"/>
          <w:lang w:eastAsia="es-ES"/>
        </w:rPr>
        <w:t>Documento determinante de Crédito</w:t>
      </w:r>
      <w:r w:rsidRPr="00E92281">
        <w:rPr>
          <w:rFonts w:ascii="Calibri" w:eastAsia="Calibri" w:hAnsi="Calibri" w:cs="Times New Roman"/>
          <w:bCs/>
          <w:color w:val="767171"/>
          <w:sz w:val="26"/>
          <w:szCs w:val="27"/>
          <w:lang w:eastAsia="es-ES"/>
        </w:rPr>
        <w:t xml:space="preserve">, de fecha </w:t>
      </w:r>
      <w:r w:rsidRPr="00E92281">
        <w:rPr>
          <w:rFonts w:ascii="Calibri" w:eastAsia="Calibri" w:hAnsi="Calibri" w:cs="Times New Roman"/>
          <w:b/>
          <w:bCs/>
          <w:color w:val="767171"/>
          <w:sz w:val="26"/>
          <w:szCs w:val="27"/>
          <w:lang w:eastAsia="es-ES"/>
        </w:rPr>
        <w:t>26</w:t>
      </w:r>
      <w:r w:rsidRPr="00E92281">
        <w:rPr>
          <w:rFonts w:ascii="Calibri" w:eastAsia="Calibri" w:hAnsi="Calibri" w:cs="Times New Roman"/>
          <w:bCs/>
          <w:color w:val="767171"/>
          <w:sz w:val="26"/>
          <w:szCs w:val="27"/>
          <w:lang w:eastAsia="es-ES"/>
        </w:rPr>
        <w:t xml:space="preserve"> veintiséis de </w:t>
      </w:r>
      <w:r w:rsidRPr="00E92281">
        <w:rPr>
          <w:rFonts w:ascii="Calibri" w:eastAsia="Calibri" w:hAnsi="Calibri" w:cs="Times New Roman"/>
          <w:b/>
          <w:bCs/>
          <w:color w:val="767171"/>
          <w:sz w:val="26"/>
          <w:szCs w:val="27"/>
          <w:lang w:eastAsia="es-ES"/>
        </w:rPr>
        <w:t>agosto</w:t>
      </w:r>
      <w:r w:rsidRPr="00E92281">
        <w:rPr>
          <w:rFonts w:ascii="Calibri" w:eastAsia="Calibri" w:hAnsi="Calibri" w:cs="Times New Roman"/>
          <w:bCs/>
          <w:color w:val="767171"/>
          <w:sz w:val="26"/>
          <w:szCs w:val="27"/>
          <w:lang w:eastAsia="es-ES"/>
        </w:rPr>
        <w:t xml:space="preserve"> del año </w:t>
      </w:r>
      <w:r w:rsidRPr="00E92281">
        <w:rPr>
          <w:rFonts w:ascii="Calibri" w:eastAsia="Calibri" w:hAnsi="Calibri" w:cs="Times New Roman"/>
          <w:b/>
          <w:bCs/>
          <w:color w:val="767171"/>
          <w:sz w:val="26"/>
          <w:szCs w:val="27"/>
          <w:lang w:eastAsia="es-ES"/>
        </w:rPr>
        <w:t>2014</w:t>
      </w:r>
      <w:r w:rsidRPr="00E92281">
        <w:rPr>
          <w:rFonts w:ascii="Calibri" w:eastAsia="Calibri" w:hAnsi="Calibri" w:cs="Times New Roman"/>
          <w:bCs/>
          <w:color w:val="767171"/>
          <w:sz w:val="26"/>
          <w:szCs w:val="27"/>
          <w:lang w:eastAsia="es-ES"/>
        </w:rPr>
        <w:t xml:space="preserve"> dos mil catorce, por el cual se determinaron créditos fiscales por concepto del impuesto predial, respecto del inmueble ubicado en la calle *****. . . . . . . . . . . . . . . . . . . . . . . . . . . . . </w:t>
      </w:r>
    </w:p>
    <w:p w:rsidR="00E92281" w:rsidRPr="00E92281" w:rsidRDefault="00E92281" w:rsidP="00E92281">
      <w:pPr>
        <w:spacing w:after="0" w:line="240" w:lineRule="auto"/>
        <w:jc w:val="both"/>
        <w:rPr>
          <w:rFonts w:ascii="Calibri" w:eastAsia="Calibri" w:hAnsi="Calibri" w:cs="Times New Roman"/>
          <w:color w:val="767171"/>
          <w:lang w:eastAsia="es-ES"/>
        </w:rPr>
      </w:pPr>
    </w:p>
    <w:p w:rsidR="00E92281" w:rsidRPr="00E92281" w:rsidRDefault="00E92281" w:rsidP="00E92281">
      <w:pPr>
        <w:spacing w:after="0" w:line="240" w:lineRule="auto"/>
        <w:ind w:firstLine="708"/>
        <w:jc w:val="right"/>
        <w:rPr>
          <w:rFonts w:ascii="Calibri" w:eastAsia="Calibri" w:hAnsi="Calibri" w:cs="Times New Roman"/>
          <w:b/>
          <w:color w:val="767171"/>
          <w:sz w:val="26"/>
          <w:szCs w:val="27"/>
          <w:lang w:val="es-ES" w:eastAsia="es-ES"/>
        </w:rPr>
      </w:pPr>
      <w:r w:rsidRPr="00E92281">
        <w:rPr>
          <w:rFonts w:ascii="Calibri" w:eastAsia="Calibri" w:hAnsi="Calibri" w:cs="Times New Roman"/>
          <w:b/>
          <w:color w:val="767171"/>
          <w:sz w:val="26"/>
          <w:szCs w:val="27"/>
          <w:lang w:val="es-ES" w:eastAsia="es-ES"/>
        </w:rPr>
        <w:t>Expediente número 620/2014-JN</w:t>
      </w:r>
    </w:p>
    <w:p w:rsidR="00E92281" w:rsidRPr="00E92281" w:rsidRDefault="00E92281" w:rsidP="00E92281">
      <w:pPr>
        <w:spacing w:after="0" w:line="240" w:lineRule="auto"/>
        <w:jc w:val="both"/>
        <w:rPr>
          <w:rFonts w:ascii="Calibri" w:eastAsia="Calibri" w:hAnsi="Calibri" w:cs="Calibri"/>
          <w:color w:val="767171"/>
          <w:sz w:val="26"/>
          <w:szCs w:val="26"/>
          <w:lang w:val="es-ES" w:eastAsia="es-ES"/>
        </w:rPr>
      </w:pPr>
    </w:p>
    <w:p w:rsidR="00E92281" w:rsidRPr="00E92281" w:rsidRDefault="00E92281" w:rsidP="00E92281">
      <w:pPr>
        <w:spacing w:after="0" w:line="240" w:lineRule="auto"/>
        <w:ind w:firstLine="708"/>
        <w:jc w:val="both"/>
        <w:rPr>
          <w:rFonts w:ascii="Calibri" w:eastAsia="Calibri" w:hAnsi="Calibri" w:cs="Calibri"/>
          <w:color w:val="767171"/>
          <w:sz w:val="26"/>
          <w:szCs w:val="26"/>
          <w:lang w:val="es-ES" w:eastAsia="es-ES"/>
        </w:rPr>
      </w:pPr>
      <w:r w:rsidRPr="00E92281">
        <w:rPr>
          <w:rFonts w:ascii="Calibri" w:eastAsia="Calibri" w:hAnsi="Calibri" w:cs="Calibri"/>
          <w:color w:val="767171"/>
          <w:sz w:val="26"/>
          <w:szCs w:val="26"/>
          <w:lang w:val="es-ES" w:eastAsia="es-ES"/>
        </w:rPr>
        <w:t xml:space="preserve">Como apoyo a lo anteriormente resuelto, se hace propio, el criterio que sostiene la Primera Sala del Tribunal de lo Contencioso Administrativo del Estado, contenida en la página 119 ciento diecinueve, de la publicación intitulada </w:t>
      </w:r>
      <w:r w:rsidRPr="00E92281">
        <w:rPr>
          <w:rFonts w:ascii="Calibri" w:eastAsia="Calibri" w:hAnsi="Calibri" w:cs="Calibri"/>
          <w:i/>
          <w:color w:val="767171"/>
          <w:sz w:val="26"/>
          <w:szCs w:val="26"/>
          <w:lang w:val="es-ES" w:eastAsia="es-ES"/>
        </w:rPr>
        <w:t>“Criterios 2000-</w:t>
      </w:r>
      <w:smartTag w:uri="urn:schemas-microsoft-com:office:smarttags" w:element="metricconverter">
        <w:smartTagPr>
          <w:attr w:name="ProductID" w:val="2008”"/>
        </w:smartTagPr>
        <w:r w:rsidRPr="00E92281">
          <w:rPr>
            <w:rFonts w:ascii="Calibri" w:eastAsia="Calibri" w:hAnsi="Calibri" w:cs="Calibri"/>
            <w:i/>
            <w:color w:val="767171"/>
            <w:sz w:val="26"/>
            <w:szCs w:val="26"/>
            <w:lang w:val="es-ES" w:eastAsia="es-ES"/>
          </w:rPr>
          <w:t>2008”</w:t>
        </w:r>
      </w:smartTag>
      <w:r w:rsidRPr="00E92281">
        <w:rPr>
          <w:rFonts w:ascii="Calibri" w:eastAsia="Calibri" w:hAnsi="Calibri" w:cs="Calibri"/>
          <w:color w:val="767171"/>
          <w:sz w:val="26"/>
          <w:szCs w:val="26"/>
          <w:lang w:val="es-ES" w:eastAsia="es-ES"/>
        </w:rPr>
        <w:t xml:space="preserve"> del referido Tribunal, la cual es del tenor siguiente: . . . . . . . </w:t>
      </w:r>
    </w:p>
    <w:p w:rsidR="00E92281" w:rsidRPr="00E92281" w:rsidRDefault="00E92281" w:rsidP="00E92281">
      <w:pPr>
        <w:spacing w:after="0" w:line="240" w:lineRule="auto"/>
        <w:ind w:firstLine="708"/>
        <w:jc w:val="both"/>
        <w:rPr>
          <w:rFonts w:ascii="Calibri" w:eastAsia="Calibri" w:hAnsi="Calibri" w:cs="Calibri"/>
          <w:color w:val="767171"/>
          <w:sz w:val="20"/>
          <w:szCs w:val="20"/>
          <w:lang w:val="es-ES" w:eastAsia="es-ES"/>
        </w:rPr>
      </w:pPr>
    </w:p>
    <w:p w:rsidR="00E92281" w:rsidRPr="00E92281" w:rsidRDefault="00E92281" w:rsidP="00E92281">
      <w:pPr>
        <w:spacing w:after="0" w:line="240" w:lineRule="auto"/>
        <w:ind w:firstLine="708"/>
        <w:jc w:val="both"/>
        <w:rPr>
          <w:rFonts w:ascii="Calibri" w:eastAsia="Calibri" w:hAnsi="Calibri" w:cs="Calibri"/>
          <w:i/>
          <w:iCs/>
          <w:color w:val="767171"/>
          <w:sz w:val="26"/>
          <w:szCs w:val="26"/>
          <w:lang w:val="es-ES" w:eastAsia="es-ES"/>
        </w:rPr>
      </w:pPr>
      <w:r w:rsidRPr="00E92281">
        <w:rPr>
          <w:rFonts w:ascii="Calibri" w:eastAsia="Calibri" w:hAnsi="Calibri" w:cs="Calibri"/>
          <w:b/>
          <w:bCs/>
          <w:i/>
          <w:iCs/>
          <w:color w:val="767171"/>
          <w:sz w:val="26"/>
          <w:szCs w:val="26"/>
          <w:lang w:val="es-ES" w:eastAsia="es-ES"/>
        </w:rPr>
        <w:t xml:space="preserve">“INDEBIDA FUNDAMENTACIÓN Y MOTIVACIÓN.- PROCEDE DECRETAR LA NULIDAD LISA Y LLANA.- </w:t>
      </w:r>
      <w:r w:rsidRPr="00E92281">
        <w:rPr>
          <w:rFonts w:ascii="Calibri" w:eastAsia="Calibri" w:hAnsi="Calibri" w:cs="Calibri"/>
          <w:i/>
          <w:iCs/>
          <w:color w:val="767171"/>
          <w:sz w:val="26"/>
          <w:szCs w:val="26"/>
          <w:lang w:val="es-ES" w:eastAsia="es-ES"/>
        </w:rPr>
        <w:t xml:space="preserve">La ausencia de fundamentación y motivación deriva en el decretamiento de una nulidad para el efecto de que se emita otro acto debidamente fundado y motivado. Por su parte la indebida satisfacción de estos </w:t>
      </w:r>
      <w:r w:rsidRPr="00E92281">
        <w:rPr>
          <w:rFonts w:ascii="Calibri" w:eastAsia="Calibri" w:hAnsi="Calibri" w:cs="Calibri"/>
          <w:i/>
          <w:iCs/>
          <w:color w:val="767171"/>
          <w:sz w:val="26"/>
          <w:szCs w:val="26"/>
          <w:lang w:val="es-ES" w:eastAsia="es-ES"/>
        </w:rPr>
        <w:lastRenderedPageBreak/>
        <w:t xml:space="preserve">extremos, conduce a decretar una nulidad lisa y llana, ya que aquí el particular no requiere conocer los fundamentos y motivos de la afectación, sino que es sabedor de que los aplicados en el acto en concreto no son los adecuados.” </w:t>
      </w:r>
      <w:r w:rsidRPr="00E92281">
        <w:rPr>
          <w:rFonts w:ascii="Calibri" w:eastAsia="Calibri" w:hAnsi="Calibri" w:cs="Calibri"/>
          <w:color w:val="767171"/>
          <w:lang w:val="es-ES" w:eastAsia="es-ES"/>
        </w:rPr>
        <w:t xml:space="preserve">(Exp. 4.509/02. Sentencia de fecha 09 nueve de mayo de 2003. Actor: Martha Isabel Espriu Manrique). . . . . . . . . </w:t>
      </w:r>
    </w:p>
    <w:p w:rsidR="00E92281" w:rsidRPr="00E92281" w:rsidRDefault="00E92281" w:rsidP="00E92281">
      <w:pPr>
        <w:spacing w:after="0" w:line="240" w:lineRule="auto"/>
        <w:jc w:val="both"/>
        <w:rPr>
          <w:rFonts w:ascii="Calibri" w:eastAsia="Calibri" w:hAnsi="Calibri" w:cs="Arial"/>
          <w:b/>
          <w:bCs/>
          <w:i/>
          <w:iCs/>
          <w:color w:val="767171"/>
          <w:sz w:val="26"/>
          <w:szCs w:val="26"/>
          <w:lang w:eastAsia="es-ES"/>
        </w:rPr>
      </w:pPr>
    </w:p>
    <w:p w:rsidR="00E92281" w:rsidRPr="00E92281" w:rsidRDefault="00E92281" w:rsidP="00E92281">
      <w:pPr>
        <w:spacing w:after="0" w:line="240" w:lineRule="auto"/>
        <w:ind w:firstLine="708"/>
        <w:jc w:val="both"/>
        <w:rPr>
          <w:rFonts w:ascii="Calibri" w:eastAsia="Calibri" w:hAnsi="Calibri" w:cs="Arial"/>
          <w:bCs/>
          <w:iCs/>
          <w:color w:val="767171"/>
          <w:sz w:val="26"/>
          <w:szCs w:val="26"/>
          <w:lang w:val="es-ES" w:eastAsia="es-ES"/>
        </w:rPr>
      </w:pPr>
      <w:r w:rsidRPr="00E92281">
        <w:rPr>
          <w:rFonts w:ascii="Calibri" w:eastAsia="Calibri" w:hAnsi="Calibri" w:cs="Times New Roman"/>
          <w:color w:val="767171"/>
          <w:sz w:val="26"/>
          <w:szCs w:val="26"/>
          <w:lang w:eastAsia="es-MX"/>
        </w:rPr>
        <w:t>Por lo que hace a las excepciones y defensas que opuso la autoridad demandada, se  expresa lo siguiente: . . . . . . . . . . . . . . . . . . . . . . . . . . . . . . . . . . . . .</w:t>
      </w:r>
    </w:p>
    <w:p w:rsidR="00E92281" w:rsidRPr="00E92281" w:rsidRDefault="00E92281" w:rsidP="00E92281">
      <w:pPr>
        <w:spacing w:after="0" w:line="240" w:lineRule="auto"/>
        <w:jc w:val="both"/>
        <w:rPr>
          <w:rFonts w:ascii="Calibri" w:eastAsia="Calibri" w:hAnsi="Calibri" w:cs="Times New Roman"/>
          <w:color w:val="767171"/>
          <w:sz w:val="20"/>
          <w:szCs w:val="20"/>
          <w:lang w:eastAsia="es-MX"/>
        </w:rPr>
      </w:pPr>
    </w:p>
    <w:p w:rsidR="00E92281" w:rsidRPr="00E92281" w:rsidRDefault="00E92281" w:rsidP="00E92281">
      <w:pPr>
        <w:spacing w:after="0" w:line="240" w:lineRule="auto"/>
        <w:ind w:firstLine="708"/>
        <w:jc w:val="both"/>
        <w:rPr>
          <w:rFonts w:ascii="Calibri" w:eastAsia="Calibri" w:hAnsi="Calibri" w:cs="Times New Roman"/>
          <w:color w:val="767171"/>
          <w:sz w:val="26"/>
          <w:szCs w:val="26"/>
          <w:lang w:eastAsia="es-MX"/>
        </w:rPr>
      </w:pPr>
      <w:r w:rsidRPr="00E92281">
        <w:rPr>
          <w:rFonts w:ascii="Calibri" w:eastAsia="Calibri" w:hAnsi="Calibri" w:cs="Times New Roman"/>
          <w:color w:val="767171"/>
          <w:sz w:val="26"/>
          <w:szCs w:val="26"/>
          <w:lang w:eastAsia="es-MX"/>
        </w:rPr>
        <w:t xml:space="preserve">a).- Respecto de la excepción de falta de acción y carencia de derecho; no opera; dado que como ya se dijo con anterioridad, el presente juicio ha sido declarado procedente, y tan no carecía de derecho la parte actora, que se decretó la nulidad total del acto impugnado. . . . . . . . . . . . . . . . . . . . . . . . . . . . . . . . </w:t>
      </w:r>
    </w:p>
    <w:p w:rsidR="00E92281" w:rsidRPr="00E92281" w:rsidRDefault="00E92281" w:rsidP="00E92281">
      <w:pPr>
        <w:spacing w:after="0" w:line="240" w:lineRule="auto"/>
        <w:jc w:val="both"/>
        <w:rPr>
          <w:rFonts w:ascii="Calibri" w:eastAsia="Calibri" w:hAnsi="Calibri" w:cs="Times New Roman"/>
          <w:color w:val="767171"/>
          <w:sz w:val="20"/>
          <w:szCs w:val="20"/>
          <w:lang w:eastAsia="es-MX"/>
        </w:rPr>
      </w:pPr>
    </w:p>
    <w:p w:rsidR="00E92281" w:rsidRPr="00E92281" w:rsidRDefault="00E92281" w:rsidP="00E92281">
      <w:pPr>
        <w:spacing w:after="0" w:line="240" w:lineRule="auto"/>
        <w:ind w:firstLine="708"/>
        <w:jc w:val="both"/>
        <w:rPr>
          <w:rFonts w:ascii="Calibri" w:eastAsia="Calibri" w:hAnsi="Calibri" w:cs="Calibri"/>
          <w:color w:val="767171"/>
          <w:sz w:val="26"/>
          <w:szCs w:val="26"/>
          <w:lang w:eastAsia="es-ES"/>
        </w:rPr>
      </w:pPr>
      <w:r w:rsidRPr="00E92281">
        <w:rPr>
          <w:rFonts w:ascii="Calibri" w:eastAsia="Calibri" w:hAnsi="Calibri" w:cs="Times New Roman"/>
          <w:color w:val="767171"/>
          <w:sz w:val="26"/>
          <w:szCs w:val="26"/>
          <w:lang w:eastAsia="es-MX"/>
        </w:rPr>
        <w:t xml:space="preserve">b).- </w:t>
      </w:r>
      <w:r w:rsidRPr="00E92281">
        <w:rPr>
          <w:rFonts w:ascii="Calibri" w:eastAsia="Calibri" w:hAnsi="Calibri" w:cs="Calibri"/>
          <w:color w:val="767171"/>
          <w:sz w:val="26"/>
          <w:szCs w:val="26"/>
          <w:lang w:eastAsia="es-ES"/>
        </w:rPr>
        <w:t xml:space="preserve">Tocante a la excepción derivada de los artículos 136, 137 y 138 del Código de Procedimiento y Justicia Administrativa para el Estado y los Municipios de Guanajuato; referida a que el acto impugnado cumple con los requisitos de existencia y validez; no opera la misma, pues como ya se señaló al hacerse el estudio correspondiente en este mismo Considerando, la resolución impugnada, se emitió sin encontrarse debidamente fundada ni motivada, por lo que procedió decretar su nulidad total. . . . . . . . . . . . . . . . . . . . . . . . . . . . . . . . . . . . . . . . . . . . . . . . </w:t>
      </w:r>
    </w:p>
    <w:p w:rsidR="00E92281" w:rsidRPr="00E92281" w:rsidRDefault="00E92281" w:rsidP="00E92281">
      <w:pPr>
        <w:spacing w:after="0" w:line="240" w:lineRule="auto"/>
        <w:ind w:firstLine="708"/>
        <w:jc w:val="both"/>
        <w:rPr>
          <w:rFonts w:ascii="Calibri" w:eastAsia="Calibri" w:hAnsi="Calibri" w:cs="Calibri"/>
          <w:color w:val="767171"/>
          <w:sz w:val="20"/>
          <w:szCs w:val="20"/>
          <w:lang w:eastAsia="es-ES"/>
        </w:rPr>
      </w:pPr>
    </w:p>
    <w:p w:rsidR="00E92281" w:rsidRPr="00E92281" w:rsidRDefault="00E92281" w:rsidP="00E92281">
      <w:pPr>
        <w:spacing w:after="0" w:line="240" w:lineRule="auto"/>
        <w:ind w:firstLine="708"/>
        <w:jc w:val="both"/>
        <w:rPr>
          <w:rFonts w:ascii="Calibri" w:eastAsia="Calibri" w:hAnsi="Calibri" w:cs="Times New Roman"/>
          <w:color w:val="767171"/>
          <w:sz w:val="26"/>
          <w:szCs w:val="26"/>
          <w:lang w:eastAsia="es-MX"/>
        </w:rPr>
      </w:pPr>
      <w:r w:rsidRPr="00E92281">
        <w:rPr>
          <w:rFonts w:ascii="Calibri" w:eastAsia="Calibri" w:hAnsi="Calibri" w:cs="Times New Roman"/>
          <w:color w:val="767171"/>
          <w:sz w:val="26"/>
          <w:szCs w:val="26"/>
          <w:lang w:eastAsia="es-MX"/>
        </w:rPr>
        <w:t xml:space="preserve">c).- De igual manera tampoco opera la defensa de la </w:t>
      </w:r>
      <w:r w:rsidRPr="00E92281">
        <w:rPr>
          <w:rFonts w:ascii="Calibri" w:eastAsia="Calibri" w:hAnsi="Calibri" w:cs="Times New Roman"/>
          <w:i/>
          <w:color w:val="767171"/>
          <w:sz w:val="26"/>
          <w:szCs w:val="26"/>
          <w:lang w:eastAsia="es-MX"/>
        </w:rPr>
        <w:t>“Non Mutati Libeli”,</w:t>
      </w:r>
      <w:r w:rsidRPr="00E92281">
        <w:rPr>
          <w:rFonts w:ascii="Calibri" w:eastAsia="Calibri" w:hAnsi="Calibri" w:cs="Times New Roman"/>
          <w:color w:val="767171"/>
          <w:sz w:val="26"/>
          <w:szCs w:val="26"/>
          <w:lang w:eastAsia="es-MX"/>
        </w:rPr>
        <w:t xml:space="preserve"> toda vez que la demandada olvida que en un proceso administrativo, el actor sólo puede perfeccionar su demanda ya sea aclarándola, corrigiéndola o bien, completándola a requerimiento de este Órgano Jurisdiccional; de acuerdo a lo establecido por el artículo 265 del Código de Procedimiento y Justicia Administrativa en vigor en el Estado. . . . . . . . . . . . . . . . . . . . . . . . . . . . . . . . . . . . . . . </w:t>
      </w:r>
    </w:p>
    <w:p w:rsidR="00E92281" w:rsidRPr="00E92281" w:rsidRDefault="00E92281" w:rsidP="00E92281">
      <w:pPr>
        <w:spacing w:after="0" w:line="240" w:lineRule="auto"/>
        <w:jc w:val="both"/>
        <w:rPr>
          <w:rFonts w:ascii="Calibri" w:eastAsia="Calibri" w:hAnsi="Calibri" w:cs="Arial"/>
          <w:b/>
          <w:bCs/>
          <w:i/>
          <w:iCs/>
          <w:color w:val="767171"/>
          <w:sz w:val="20"/>
          <w:szCs w:val="20"/>
          <w:lang w:eastAsia="es-ES"/>
        </w:rPr>
      </w:pPr>
      <w:r w:rsidRPr="00E92281">
        <w:rPr>
          <w:rFonts w:ascii="Calibri" w:eastAsia="Calibri" w:hAnsi="Calibri" w:cs="Calibri"/>
          <w:color w:val="767171"/>
          <w:sz w:val="20"/>
          <w:szCs w:val="20"/>
          <w:lang w:eastAsia="es-ES"/>
        </w:rPr>
        <w:tab/>
      </w:r>
    </w:p>
    <w:p w:rsidR="00E92281" w:rsidRPr="00E92281" w:rsidRDefault="00E92281" w:rsidP="00E92281">
      <w:pPr>
        <w:spacing w:after="0" w:line="240" w:lineRule="auto"/>
        <w:jc w:val="both"/>
        <w:rPr>
          <w:rFonts w:ascii="Calibri" w:eastAsia="Calibri" w:hAnsi="Calibri" w:cs="Arial"/>
          <w:bCs/>
          <w:iCs/>
          <w:color w:val="767171"/>
          <w:sz w:val="26"/>
          <w:szCs w:val="26"/>
          <w:lang w:val="es-ES" w:eastAsia="es-ES"/>
        </w:rPr>
      </w:pPr>
      <w:r w:rsidRPr="00E92281">
        <w:rPr>
          <w:rFonts w:ascii="Calibri" w:eastAsia="Calibri" w:hAnsi="Calibri" w:cs="Arial"/>
          <w:bCs/>
          <w:iCs/>
          <w:color w:val="767171"/>
          <w:sz w:val="26"/>
          <w:szCs w:val="26"/>
          <w:lang w:val="es-ES" w:eastAsia="es-ES"/>
        </w:rPr>
        <w:tab/>
        <w:t>No advirtiéndose ninguna otra excepción que se desprenda de lo narrado en el escrito de contestación de la demanda. . . . . . . . . . . . . . . . . . . . . . . . . . . . . . . .</w:t>
      </w:r>
    </w:p>
    <w:p w:rsidR="00E92281" w:rsidRPr="00E92281" w:rsidRDefault="00E92281" w:rsidP="00E92281">
      <w:pPr>
        <w:spacing w:after="0" w:line="240" w:lineRule="auto"/>
        <w:jc w:val="both"/>
        <w:rPr>
          <w:rFonts w:ascii="Calibri" w:eastAsia="Calibri" w:hAnsi="Calibri" w:cs="Arial"/>
          <w:b/>
          <w:bCs/>
          <w:i/>
          <w:iCs/>
          <w:color w:val="767171"/>
          <w:sz w:val="26"/>
          <w:szCs w:val="26"/>
          <w:lang w:eastAsia="es-ES"/>
        </w:rPr>
      </w:pPr>
    </w:p>
    <w:p w:rsidR="00E92281" w:rsidRPr="00E92281" w:rsidRDefault="00E92281" w:rsidP="00E92281">
      <w:pPr>
        <w:spacing w:after="0" w:line="240" w:lineRule="auto"/>
        <w:ind w:firstLine="708"/>
        <w:jc w:val="both"/>
        <w:rPr>
          <w:rFonts w:ascii="Calibri" w:eastAsia="Calibri" w:hAnsi="Calibri" w:cs="Arial"/>
          <w:color w:val="767171"/>
          <w:sz w:val="26"/>
          <w:szCs w:val="27"/>
          <w:lang w:eastAsia="es-ES"/>
        </w:rPr>
      </w:pPr>
      <w:r w:rsidRPr="00E92281">
        <w:rPr>
          <w:rFonts w:ascii="Calibri" w:eastAsia="Calibri" w:hAnsi="Calibri" w:cs="Arial"/>
          <w:b/>
          <w:bCs/>
          <w:i/>
          <w:iCs/>
          <w:color w:val="767171"/>
          <w:sz w:val="26"/>
          <w:szCs w:val="26"/>
          <w:lang w:eastAsia="es-ES"/>
        </w:rPr>
        <w:t xml:space="preserve">SÉPTIMO.- </w:t>
      </w:r>
      <w:r w:rsidRPr="00E92281">
        <w:rPr>
          <w:rFonts w:ascii="Calibri" w:eastAsia="Calibri" w:hAnsi="Calibri" w:cs="Arial"/>
          <w:color w:val="767171"/>
          <w:sz w:val="26"/>
          <w:szCs w:val="27"/>
          <w:lang w:eastAsia="es-ES"/>
        </w:rPr>
        <w:t xml:space="preserve">En virtud de que el análisis del primer concepto de impugnación, fue suficiente para decretar la nulidad total del acto impugnado; resulta innecesario el estudio del segundo concepto planteado por el justiciable, ya que su análisis no afectaría ni variaría el sentido de esta resolución. . . . . . . . . . </w:t>
      </w:r>
    </w:p>
    <w:p w:rsidR="00E92281" w:rsidRPr="00E92281" w:rsidRDefault="00E92281" w:rsidP="00E92281">
      <w:pPr>
        <w:spacing w:after="0" w:line="240" w:lineRule="auto"/>
        <w:jc w:val="both"/>
        <w:rPr>
          <w:rFonts w:ascii="Calibri" w:eastAsia="Calibri" w:hAnsi="Calibri" w:cs="Arial"/>
          <w:color w:val="767171"/>
          <w:sz w:val="20"/>
          <w:szCs w:val="27"/>
          <w:lang w:eastAsia="es-ES"/>
        </w:rPr>
      </w:pPr>
    </w:p>
    <w:p w:rsidR="00E92281" w:rsidRPr="00E92281" w:rsidRDefault="00E92281" w:rsidP="00E92281">
      <w:pPr>
        <w:spacing w:after="0" w:line="240" w:lineRule="auto"/>
        <w:ind w:firstLine="708"/>
        <w:jc w:val="both"/>
        <w:rPr>
          <w:rFonts w:ascii="Calibri" w:eastAsia="Calibri" w:hAnsi="Calibri" w:cs="Arial"/>
          <w:color w:val="767171"/>
          <w:sz w:val="26"/>
          <w:szCs w:val="27"/>
          <w:lang w:eastAsia="es-ES"/>
        </w:rPr>
      </w:pPr>
      <w:r w:rsidRPr="00E92281">
        <w:rPr>
          <w:rFonts w:ascii="Calibri" w:eastAsia="Calibri" w:hAnsi="Calibri" w:cs="Arial"/>
          <w:color w:val="767171"/>
          <w:sz w:val="26"/>
          <w:szCs w:val="27"/>
          <w:lang w:eastAsia="es-ES"/>
        </w:rPr>
        <w:t xml:space="preserve">Sirve de apoyo a lo anterior la tesis de jurisprudencia que a la letra señala: </w:t>
      </w:r>
    </w:p>
    <w:p w:rsidR="00E92281" w:rsidRPr="00E92281" w:rsidRDefault="00E92281" w:rsidP="00E92281">
      <w:pPr>
        <w:spacing w:after="0" w:line="240" w:lineRule="auto"/>
        <w:ind w:firstLine="708"/>
        <w:jc w:val="both"/>
        <w:rPr>
          <w:rFonts w:ascii="Calibri" w:eastAsia="Calibri" w:hAnsi="Calibri" w:cs="Arial"/>
          <w:color w:val="767171"/>
          <w:sz w:val="20"/>
          <w:szCs w:val="27"/>
          <w:lang w:eastAsia="es-ES"/>
        </w:rPr>
      </w:pPr>
    </w:p>
    <w:p w:rsidR="00E92281" w:rsidRPr="00E92281" w:rsidRDefault="00E92281" w:rsidP="00E92281">
      <w:pPr>
        <w:spacing w:after="0" w:line="240" w:lineRule="auto"/>
        <w:ind w:firstLine="708"/>
        <w:jc w:val="both"/>
        <w:rPr>
          <w:rFonts w:ascii="Calibri" w:eastAsia="Calibri" w:hAnsi="Calibri" w:cs="Times New Roman"/>
          <w:color w:val="767171"/>
          <w:sz w:val="26"/>
          <w:szCs w:val="26"/>
          <w:lang w:eastAsia="es-ES"/>
        </w:rPr>
      </w:pPr>
      <w:r w:rsidRPr="00E92281">
        <w:rPr>
          <w:rFonts w:ascii="Calibri" w:eastAsia="Calibri" w:hAnsi="Calibri" w:cs="Times New Roman"/>
          <w:b/>
          <w:bCs/>
          <w:i/>
          <w:iCs/>
          <w:color w:val="767171"/>
          <w:sz w:val="26"/>
          <w:szCs w:val="27"/>
          <w:lang w:eastAsia="es-ES"/>
        </w:rPr>
        <w:t xml:space="preserve">“CONCEPTOS DE VIOLACION. CUANDO SU ESTUDIO ES INNECESARIO. </w:t>
      </w:r>
      <w:r w:rsidRPr="00E92281">
        <w:rPr>
          <w:rFonts w:ascii="Calibri" w:eastAsia="Calibri" w:hAnsi="Calibri" w:cs="Times New Roman"/>
          <w:i/>
          <w:iCs/>
          <w:color w:val="767171"/>
          <w:sz w:val="26"/>
          <w:szCs w:val="27"/>
          <w:lang w:eastAsia="es-E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E92281">
        <w:rPr>
          <w:rFonts w:ascii="Calibri" w:eastAsia="Calibri" w:hAnsi="Calibri" w:cs="Times New Roman"/>
          <w:color w:val="767171"/>
          <w:sz w:val="20"/>
          <w:szCs w:val="27"/>
          <w:lang w:eastAsia="es-ES"/>
        </w:rPr>
        <w:lastRenderedPageBreak/>
        <w:t xml:space="preserve">Segundo Tribunal Colegiado Del Quinto Circuito. No. Registro: 223,103. Jurisprudencia. Materia(s): Común. Octava Época. Instancia: Tribunales Colegiados de Circuito. </w:t>
      </w:r>
      <w:r w:rsidRPr="00E92281">
        <w:rPr>
          <w:rFonts w:ascii="Calibri" w:eastAsia="Calibri" w:hAnsi="Calibri" w:cs="Times New Roman"/>
          <w:color w:val="767171"/>
          <w:sz w:val="20"/>
          <w:lang w:eastAsia="es-ES"/>
        </w:rPr>
        <w:t>Fuente: Semanario Judicial de la Federación. I, Abril de 1991. Tesis: V.2o. J/7. Página: 86. Genealogía: Gaceta número 40, Abril de 1991, página 125</w:t>
      </w:r>
      <w:r w:rsidRPr="00E92281">
        <w:rPr>
          <w:rFonts w:ascii="Calibri" w:eastAsia="Calibri" w:hAnsi="Calibri" w:cs="Times New Roman"/>
          <w:color w:val="767171"/>
          <w:sz w:val="20"/>
          <w:szCs w:val="26"/>
          <w:lang w:eastAsia="es-ES"/>
        </w:rPr>
        <w:t xml:space="preserve">. </w:t>
      </w:r>
      <w:r w:rsidRPr="00E92281">
        <w:rPr>
          <w:rFonts w:ascii="Calibri" w:eastAsia="Calibri" w:hAnsi="Calibri" w:cs="Times New Roman"/>
          <w:color w:val="767171"/>
          <w:sz w:val="26"/>
          <w:szCs w:val="26"/>
          <w:lang w:eastAsia="es-ES"/>
        </w:rPr>
        <w:t xml:space="preserve">. . . . . . . . . . . . . . . . . . . . . . . . . . . . . . . . . . . . . . . . . . . . . . . . . . . . . . . . . . . . . </w:t>
      </w:r>
    </w:p>
    <w:p w:rsidR="00E92281" w:rsidRPr="00E92281" w:rsidRDefault="00E92281" w:rsidP="00E92281">
      <w:pPr>
        <w:spacing w:after="0" w:line="240" w:lineRule="auto"/>
        <w:jc w:val="both"/>
        <w:rPr>
          <w:rFonts w:ascii="Calibri" w:eastAsia="Calibri" w:hAnsi="Calibri" w:cs="Times New Roman"/>
          <w:color w:val="767171"/>
          <w:szCs w:val="26"/>
          <w:lang w:eastAsia="es-ES"/>
        </w:rPr>
      </w:pPr>
    </w:p>
    <w:p w:rsidR="00E92281" w:rsidRPr="00E92281" w:rsidRDefault="00E92281" w:rsidP="00E92281">
      <w:pPr>
        <w:spacing w:after="0" w:line="240" w:lineRule="auto"/>
        <w:ind w:firstLine="708"/>
        <w:jc w:val="both"/>
        <w:rPr>
          <w:rFonts w:ascii="Calibri" w:eastAsia="Calibri" w:hAnsi="Calibri" w:cs="Arial"/>
          <w:color w:val="767171"/>
          <w:sz w:val="26"/>
          <w:szCs w:val="26"/>
          <w:lang w:eastAsia="es-ES"/>
        </w:rPr>
      </w:pPr>
      <w:r w:rsidRPr="00E92281">
        <w:rPr>
          <w:rFonts w:ascii="Calibri" w:eastAsia="Calibri" w:hAnsi="Calibri" w:cs="Arial"/>
          <w:color w:val="767171"/>
          <w:sz w:val="26"/>
          <w:szCs w:val="26"/>
          <w:lang w:eastAsia="es-ES"/>
        </w:rPr>
        <w:t xml:space="preserve">Por lo anteriormente expuesto, y con fundamento además en lo dispuesto en los artículos 249, 287, 298, 299, 300, fracción II; y, 302, fracción II, del </w:t>
      </w:r>
      <w:r w:rsidRPr="00E92281">
        <w:rPr>
          <w:rFonts w:ascii="Calibri" w:eastAsia="Calibri" w:hAnsi="Calibri" w:cs="Times New Roman"/>
          <w:color w:val="767171"/>
          <w:sz w:val="26"/>
          <w:szCs w:val="26"/>
          <w:lang w:eastAsia="es-ES"/>
        </w:rPr>
        <w:t>Código de Procedimiento y Justicia Administrativa para el Estado y los Municipios de Guanajuato,</w:t>
      </w:r>
      <w:r w:rsidRPr="00E92281">
        <w:rPr>
          <w:rFonts w:ascii="Calibri" w:eastAsia="Calibri" w:hAnsi="Calibri" w:cs="Arial"/>
          <w:color w:val="767171"/>
          <w:sz w:val="26"/>
          <w:szCs w:val="26"/>
          <w:lang w:eastAsia="es-ES"/>
        </w:rPr>
        <w:t xml:space="preserve"> es de resolverse y se. </w:t>
      </w:r>
      <w:r w:rsidRPr="00E92281">
        <w:rPr>
          <w:rFonts w:ascii="Calibri" w:eastAsia="Calibri" w:hAnsi="Calibri" w:cs="Times New Roman"/>
          <w:color w:val="767171"/>
          <w:sz w:val="26"/>
          <w:szCs w:val="26"/>
          <w:lang w:eastAsia="es-ES"/>
        </w:rPr>
        <w:t xml:space="preserve">. </w:t>
      </w:r>
      <w:r w:rsidRPr="00E92281">
        <w:rPr>
          <w:rFonts w:ascii="Calibri" w:eastAsia="Calibri" w:hAnsi="Calibri" w:cs="Arial"/>
          <w:color w:val="767171"/>
          <w:sz w:val="26"/>
          <w:szCs w:val="26"/>
          <w:lang w:eastAsia="es-ES"/>
        </w:rPr>
        <w:t>. . . . . . . . . . . . . . . . . . . . . . . . . . . . . . . . . . . . . . .</w:t>
      </w:r>
    </w:p>
    <w:p w:rsidR="00E92281" w:rsidRPr="00E92281" w:rsidRDefault="00E92281" w:rsidP="00E92281">
      <w:pPr>
        <w:spacing w:after="0" w:line="240" w:lineRule="auto"/>
        <w:ind w:firstLine="708"/>
        <w:jc w:val="both"/>
        <w:rPr>
          <w:rFonts w:ascii="Calibri" w:eastAsia="Calibri" w:hAnsi="Calibri" w:cs="Arial"/>
          <w:color w:val="767171"/>
          <w:szCs w:val="26"/>
          <w:lang w:eastAsia="es-ES"/>
        </w:rPr>
      </w:pPr>
    </w:p>
    <w:p w:rsidR="00E92281" w:rsidRPr="00E92281" w:rsidRDefault="00E92281" w:rsidP="00E92281">
      <w:pPr>
        <w:spacing w:after="0" w:line="240" w:lineRule="auto"/>
        <w:jc w:val="center"/>
        <w:rPr>
          <w:rFonts w:ascii="Calibri" w:eastAsia="Calibri" w:hAnsi="Calibri" w:cs="Arial"/>
          <w:i/>
          <w:iCs/>
          <w:color w:val="767171"/>
          <w:sz w:val="26"/>
          <w:szCs w:val="26"/>
          <w:lang w:eastAsia="es-ES"/>
        </w:rPr>
      </w:pPr>
      <w:r w:rsidRPr="00E92281">
        <w:rPr>
          <w:rFonts w:ascii="Calibri" w:eastAsia="Calibri" w:hAnsi="Calibri" w:cs="Arial"/>
          <w:b/>
          <w:i/>
          <w:iCs/>
          <w:color w:val="767171"/>
          <w:sz w:val="26"/>
          <w:szCs w:val="26"/>
          <w:lang w:eastAsia="es-ES"/>
        </w:rPr>
        <w:t>R E S U E L V E:</w:t>
      </w:r>
    </w:p>
    <w:p w:rsidR="00E92281" w:rsidRPr="00E92281" w:rsidRDefault="00E92281" w:rsidP="00E92281">
      <w:pPr>
        <w:spacing w:after="0" w:line="240" w:lineRule="auto"/>
        <w:jc w:val="both"/>
        <w:rPr>
          <w:rFonts w:ascii="Calibri" w:eastAsia="Calibri" w:hAnsi="Calibri" w:cs="Arial"/>
          <w:b/>
          <w:bCs/>
          <w:i/>
          <w:iCs/>
          <w:color w:val="767171"/>
          <w:sz w:val="26"/>
          <w:szCs w:val="26"/>
          <w:lang w:eastAsia="es-ES"/>
        </w:rPr>
      </w:pPr>
    </w:p>
    <w:p w:rsidR="00E92281" w:rsidRPr="00E92281" w:rsidRDefault="00E92281" w:rsidP="00E92281">
      <w:pPr>
        <w:spacing w:after="0" w:line="240" w:lineRule="auto"/>
        <w:ind w:firstLine="708"/>
        <w:jc w:val="both"/>
        <w:rPr>
          <w:rFonts w:ascii="Calibri" w:eastAsia="Calibri" w:hAnsi="Calibri" w:cs="Arial"/>
          <w:color w:val="767171"/>
          <w:sz w:val="26"/>
          <w:szCs w:val="26"/>
          <w:lang w:eastAsia="es-ES"/>
        </w:rPr>
      </w:pPr>
      <w:r w:rsidRPr="00E92281">
        <w:rPr>
          <w:rFonts w:ascii="Calibri" w:eastAsia="Calibri" w:hAnsi="Calibri" w:cs="Arial"/>
          <w:b/>
          <w:bCs/>
          <w:i/>
          <w:iCs/>
          <w:color w:val="767171"/>
          <w:sz w:val="26"/>
          <w:szCs w:val="26"/>
          <w:lang w:eastAsia="es-ES"/>
        </w:rPr>
        <w:t>PRIMERO</w:t>
      </w:r>
      <w:r w:rsidRPr="00E92281">
        <w:rPr>
          <w:rFonts w:ascii="Calibri" w:eastAsia="Calibri" w:hAnsi="Calibri" w:cs="Arial"/>
          <w:color w:val="767171"/>
          <w:sz w:val="26"/>
          <w:szCs w:val="26"/>
          <w:lang w:eastAsia="es-ES"/>
        </w:rPr>
        <w:t xml:space="preserve">.- Este Juzgado Segundo Administrativo Municipal determina ser </w:t>
      </w:r>
      <w:r w:rsidRPr="00E92281">
        <w:rPr>
          <w:rFonts w:ascii="Calibri" w:eastAsia="Calibri" w:hAnsi="Calibri" w:cs="Arial"/>
          <w:b/>
          <w:color w:val="767171"/>
          <w:sz w:val="26"/>
          <w:szCs w:val="26"/>
          <w:lang w:eastAsia="es-ES"/>
        </w:rPr>
        <w:t>competente</w:t>
      </w:r>
      <w:r w:rsidRPr="00E92281">
        <w:rPr>
          <w:rFonts w:ascii="Calibri" w:eastAsia="Calibri" w:hAnsi="Calibri" w:cs="Arial"/>
          <w:color w:val="767171"/>
          <w:sz w:val="26"/>
          <w:szCs w:val="26"/>
          <w:lang w:eastAsia="es-ES"/>
        </w:rPr>
        <w:t xml:space="preserve"> para conocer y resolver del presente proceso administrativo. . . . . . . </w:t>
      </w:r>
    </w:p>
    <w:p w:rsidR="00E92281" w:rsidRPr="00E92281" w:rsidRDefault="00E92281" w:rsidP="00E92281">
      <w:pPr>
        <w:spacing w:after="0" w:line="240" w:lineRule="auto"/>
        <w:jc w:val="both"/>
        <w:rPr>
          <w:rFonts w:ascii="Calibri" w:eastAsia="Calibri" w:hAnsi="Calibri" w:cs="Arial"/>
          <w:color w:val="767171"/>
          <w:szCs w:val="26"/>
          <w:lang w:eastAsia="es-ES"/>
        </w:rPr>
      </w:pPr>
    </w:p>
    <w:p w:rsidR="00E92281" w:rsidRPr="00E92281" w:rsidRDefault="00E92281" w:rsidP="00E92281">
      <w:pPr>
        <w:spacing w:after="0" w:line="240" w:lineRule="auto"/>
        <w:ind w:firstLine="708"/>
        <w:jc w:val="both"/>
        <w:rPr>
          <w:rFonts w:ascii="Calibri" w:eastAsia="Calibri" w:hAnsi="Calibri" w:cs="Arial"/>
          <w:bCs/>
          <w:iCs/>
          <w:color w:val="767171"/>
          <w:sz w:val="26"/>
          <w:szCs w:val="26"/>
          <w:lang w:val="es-ES" w:eastAsia="es-ES"/>
        </w:rPr>
      </w:pPr>
      <w:r w:rsidRPr="00E92281">
        <w:rPr>
          <w:rFonts w:ascii="Calibri" w:eastAsia="Calibri" w:hAnsi="Calibri" w:cs="Arial"/>
          <w:b/>
          <w:bCs/>
          <w:i/>
          <w:iCs/>
          <w:color w:val="767171"/>
          <w:sz w:val="26"/>
          <w:szCs w:val="26"/>
          <w:lang w:val="es-ES" w:eastAsia="es-ES"/>
        </w:rPr>
        <w:t xml:space="preserve">SEGUNDO.- </w:t>
      </w:r>
      <w:r w:rsidRPr="00E92281">
        <w:rPr>
          <w:rFonts w:ascii="Calibri" w:eastAsia="Calibri" w:hAnsi="Calibri" w:cs="Arial"/>
          <w:color w:val="767171"/>
          <w:sz w:val="26"/>
          <w:szCs w:val="26"/>
          <w:lang w:val="es-ES" w:eastAsia="es-ES"/>
        </w:rPr>
        <w:t xml:space="preserve">Resulta </w:t>
      </w:r>
      <w:r w:rsidRPr="00E92281">
        <w:rPr>
          <w:rFonts w:ascii="Calibri" w:eastAsia="Calibri" w:hAnsi="Calibri" w:cs="Arial"/>
          <w:b/>
          <w:color w:val="767171"/>
          <w:sz w:val="26"/>
          <w:szCs w:val="26"/>
          <w:lang w:val="es-ES" w:eastAsia="es-ES"/>
        </w:rPr>
        <w:t>procedente</w:t>
      </w:r>
      <w:r w:rsidRPr="00E92281">
        <w:rPr>
          <w:rFonts w:ascii="Calibri" w:eastAsia="Calibri" w:hAnsi="Calibri" w:cs="Arial"/>
          <w:color w:val="767171"/>
          <w:sz w:val="26"/>
          <w:szCs w:val="26"/>
          <w:lang w:val="es-ES" w:eastAsia="es-ES"/>
        </w:rPr>
        <w:t xml:space="preserve"> el proceso administrativo promovido por el justiciable en contra del acto impugnado. . . . . . . . . . . . . . . . . . . . . . . . . . . . . . . . . </w:t>
      </w:r>
    </w:p>
    <w:p w:rsidR="00E92281" w:rsidRPr="00E92281" w:rsidRDefault="00E92281" w:rsidP="00E92281">
      <w:pPr>
        <w:spacing w:after="0" w:line="240" w:lineRule="auto"/>
        <w:jc w:val="both"/>
        <w:rPr>
          <w:rFonts w:ascii="Calibri" w:eastAsia="Calibri" w:hAnsi="Calibri" w:cs="Arial"/>
          <w:b/>
          <w:bCs/>
          <w:i/>
          <w:iCs/>
          <w:color w:val="767171"/>
          <w:szCs w:val="26"/>
          <w:lang w:val="es-ES" w:eastAsia="es-ES"/>
        </w:rPr>
      </w:pPr>
    </w:p>
    <w:p w:rsidR="00E92281" w:rsidRPr="00E92281" w:rsidRDefault="00E92281" w:rsidP="00E92281">
      <w:pPr>
        <w:spacing w:after="0" w:line="240" w:lineRule="auto"/>
        <w:ind w:firstLine="708"/>
        <w:jc w:val="both"/>
        <w:rPr>
          <w:rFonts w:ascii="Calibri" w:eastAsia="Calibri" w:hAnsi="Calibri" w:cs="Times New Roman"/>
          <w:color w:val="767171"/>
          <w:sz w:val="26"/>
          <w:szCs w:val="26"/>
          <w:lang w:eastAsia="es-ES"/>
        </w:rPr>
      </w:pPr>
      <w:r w:rsidRPr="00E92281">
        <w:rPr>
          <w:rFonts w:ascii="Calibri" w:eastAsia="Calibri" w:hAnsi="Calibri" w:cs="Arial"/>
          <w:b/>
          <w:bCs/>
          <w:i/>
          <w:iCs/>
          <w:color w:val="767171"/>
          <w:sz w:val="26"/>
          <w:szCs w:val="26"/>
          <w:lang w:eastAsia="es-ES"/>
        </w:rPr>
        <w:t xml:space="preserve">TERCERO.- </w:t>
      </w:r>
      <w:r w:rsidRPr="00E92281">
        <w:rPr>
          <w:rFonts w:ascii="Calibri" w:eastAsia="Calibri" w:hAnsi="Calibri" w:cs="Arial"/>
          <w:color w:val="767171"/>
          <w:sz w:val="26"/>
          <w:szCs w:val="24"/>
          <w:lang w:eastAsia="es-ES"/>
        </w:rPr>
        <w:t xml:space="preserve">Se </w:t>
      </w:r>
      <w:r w:rsidRPr="00E92281">
        <w:rPr>
          <w:rFonts w:ascii="Calibri" w:eastAsia="Calibri" w:hAnsi="Calibri" w:cs="Arial"/>
          <w:b/>
          <w:color w:val="767171"/>
          <w:sz w:val="26"/>
          <w:szCs w:val="24"/>
          <w:lang w:eastAsia="es-ES"/>
        </w:rPr>
        <w:t xml:space="preserve">decreta </w:t>
      </w:r>
      <w:r w:rsidRPr="00E92281">
        <w:rPr>
          <w:rFonts w:ascii="Calibri" w:eastAsia="Calibri" w:hAnsi="Calibri" w:cs="Arial"/>
          <w:bCs/>
          <w:color w:val="767171"/>
          <w:sz w:val="26"/>
          <w:szCs w:val="24"/>
          <w:lang w:eastAsia="es-ES"/>
        </w:rPr>
        <w:t>la</w:t>
      </w:r>
      <w:r w:rsidRPr="00E92281">
        <w:rPr>
          <w:rFonts w:ascii="Calibri" w:eastAsia="Calibri" w:hAnsi="Calibri" w:cs="Arial"/>
          <w:b/>
          <w:bCs/>
          <w:color w:val="767171"/>
          <w:sz w:val="26"/>
          <w:szCs w:val="24"/>
          <w:lang w:eastAsia="es-ES"/>
        </w:rPr>
        <w:t xml:space="preserve"> nulidad total </w:t>
      </w:r>
      <w:r w:rsidRPr="00E92281">
        <w:rPr>
          <w:rFonts w:ascii="Calibri" w:eastAsia="Calibri" w:hAnsi="Calibri" w:cs="Arial"/>
          <w:color w:val="767171"/>
          <w:sz w:val="26"/>
          <w:szCs w:val="26"/>
          <w:lang w:eastAsia="es-ES"/>
        </w:rPr>
        <w:t xml:space="preserve">del </w:t>
      </w:r>
      <w:r w:rsidRPr="00E92281">
        <w:rPr>
          <w:rFonts w:ascii="Calibri" w:eastAsia="Calibri" w:hAnsi="Calibri" w:cs="Times New Roman"/>
          <w:bCs/>
          <w:color w:val="767171"/>
          <w:sz w:val="26"/>
          <w:szCs w:val="27"/>
          <w:lang w:eastAsia="es-ES"/>
        </w:rPr>
        <w:t>oficio con número</w:t>
      </w:r>
      <w:r w:rsidRPr="00E92281">
        <w:rPr>
          <w:rFonts w:ascii="Calibri" w:eastAsia="Calibri" w:hAnsi="Calibri" w:cs="Times New Roman"/>
          <w:b/>
          <w:bCs/>
          <w:color w:val="767171"/>
          <w:sz w:val="26"/>
          <w:szCs w:val="27"/>
          <w:lang w:eastAsia="es-ES"/>
        </w:rPr>
        <w:t xml:space="preserve"> TML/DGI/7298/2014, </w:t>
      </w:r>
      <w:r w:rsidRPr="00E92281">
        <w:rPr>
          <w:rFonts w:ascii="Calibri" w:eastAsia="Calibri" w:hAnsi="Calibri" w:cs="Times New Roman"/>
          <w:bCs/>
          <w:color w:val="767171"/>
          <w:sz w:val="26"/>
          <w:szCs w:val="27"/>
          <w:lang w:eastAsia="es-ES"/>
        </w:rPr>
        <w:t xml:space="preserve">denominado </w:t>
      </w:r>
      <w:r w:rsidRPr="00E92281">
        <w:rPr>
          <w:rFonts w:ascii="Calibri" w:eastAsia="Calibri" w:hAnsi="Calibri" w:cs="Times New Roman"/>
          <w:b/>
          <w:bCs/>
          <w:color w:val="767171"/>
          <w:sz w:val="26"/>
          <w:szCs w:val="27"/>
          <w:lang w:eastAsia="es-ES"/>
        </w:rPr>
        <w:t>Documento determinante de Crédito</w:t>
      </w:r>
      <w:r w:rsidRPr="00E92281">
        <w:rPr>
          <w:rFonts w:ascii="Calibri" w:eastAsia="Calibri" w:hAnsi="Calibri" w:cs="Times New Roman"/>
          <w:bCs/>
          <w:color w:val="767171"/>
          <w:sz w:val="26"/>
          <w:szCs w:val="27"/>
          <w:lang w:eastAsia="es-ES"/>
        </w:rPr>
        <w:t xml:space="preserve">, de fecha </w:t>
      </w:r>
      <w:r w:rsidRPr="00E92281">
        <w:rPr>
          <w:rFonts w:ascii="Calibri" w:eastAsia="Calibri" w:hAnsi="Calibri" w:cs="Times New Roman"/>
          <w:b/>
          <w:bCs/>
          <w:color w:val="767171"/>
          <w:sz w:val="26"/>
          <w:szCs w:val="27"/>
          <w:lang w:eastAsia="es-ES"/>
        </w:rPr>
        <w:t>26</w:t>
      </w:r>
      <w:r w:rsidRPr="00E92281">
        <w:rPr>
          <w:rFonts w:ascii="Calibri" w:eastAsia="Calibri" w:hAnsi="Calibri" w:cs="Times New Roman"/>
          <w:bCs/>
          <w:color w:val="767171"/>
          <w:sz w:val="26"/>
          <w:szCs w:val="27"/>
          <w:lang w:eastAsia="es-ES"/>
        </w:rPr>
        <w:t xml:space="preserve"> veintiséis de </w:t>
      </w:r>
      <w:r w:rsidRPr="00E92281">
        <w:rPr>
          <w:rFonts w:ascii="Calibri" w:eastAsia="Calibri" w:hAnsi="Calibri" w:cs="Times New Roman"/>
          <w:b/>
          <w:bCs/>
          <w:color w:val="767171"/>
          <w:sz w:val="26"/>
          <w:szCs w:val="27"/>
          <w:lang w:eastAsia="es-ES"/>
        </w:rPr>
        <w:t>agosto</w:t>
      </w:r>
      <w:r w:rsidRPr="00E92281">
        <w:rPr>
          <w:rFonts w:ascii="Calibri" w:eastAsia="Calibri" w:hAnsi="Calibri" w:cs="Times New Roman"/>
          <w:bCs/>
          <w:color w:val="767171"/>
          <w:sz w:val="26"/>
          <w:szCs w:val="27"/>
          <w:lang w:eastAsia="es-ES"/>
        </w:rPr>
        <w:t xml:space="preserve"> del año </w:t>
      </w:r>
      <w:r w:rsidRPr="00E92281">
        <w:rPr>
          <w:rFonts w:ascii="Calibri" w:eastAsia="Calibri" w:hAnsi="Calibri" w:cs="Times New Roman"/>
          <w:b/>
          <w:bCs/>
          <w:color w:val="767171"/>
          <w:sz w:val="26"/>
          <w:szCs w:val="27"/>
          <w:lang w:eastAsia="es-ES"/>
        </w:rPr>
        <w:t>2014</w:t>
      </w:r>
      <w:r w:rsidRPr="00E92281">
        <w:rPr>
          <w:rFonts w:ascii="Calibri" w:eastAsia="Calibri" w:hAnsi="Calibri" w:cs="Times New Roman"/>
          <w:bCs/>
          <w:color w:val="767171"/>
          <w:sz w:val="26"/>
          <w:szCs w:val="27"/>
          <w:lang w:eastAsia="es-ES"/>
        </w:rPr>
        <w:t xml:space="preserve"> dos mil catorce, por el cual se determinaron créditos fiscales por concepto del impuesto predial, respecto del inmueble ubicado en la calle *****</w:t>
      </w:r>
      <w:r w:rsidRPr="00E92281">
        <w:rPr>
          <w:rFonts w:ascii="Calibri" w:eastAsia="Calibri" w:hAnsi="Calibri" w:cs="Times New Roman"/>
          <w:color w:val="767171"/>
          <w:sz w:val="26"/>
          <w:szCs w:val="27"/>
          <w:lang w:eastAsia="es-ES"/>
        </w:rPr>
        <w:t xml:space="preserve">; lo anterior </w:t>
      </w:r>
      <w:r w:rsidRPr="00E92281">
        <w:rPr>
          <w:rFonts w:ascii="Calibri" w:eastAsia="Calibri" w:hAnsi="Calibri" w:cs="Arial"/>
          <w:color w:val="767171"/>
          <w:sz w:val="26"/>
          <w:szCs w:val="24"/>
          <w:lang w:eastAsia="es-ES"/>
        </w:rPr>
        <w:t>de acuerdo a las consideraciones lógicas y jurídicas expuestas en el Considerando Sexto de la presente sentencia. . . . . . . . . . . . . . . . . . . . . . . . . . . . . . .</w:t>
      </w:r>
    </w:p>
    <w:p w:rsidR="00E92281" w:rsidRPr="00E92281" w:rsidRDefault="00E92281" w:rsidP="00E92281">
      <w:pPr>
        <w:spacing w:after="0" w:line="240" w:lineRule="auto"/>
        <w:jc w:val="both"/>
        <w:rPr>
          <w:rFonts w:ascii="Calibri" w:eastAsia="Calibri" w:hAnsi="Calibri" w:cs="Times New Roman"/>
          <w:color w:val="767171"/>
          <w:szCs w:val="26"/>
          <w:lang w:eastAsia="es-ES"/>
        </w:rPr>
      </w:pPr>
    </w:p>
    <w:p w:rsidR="00E92281" w:rsidRPr="00E92281" w:rsidRDefault="00E92281" w:rsidP="00E92281">
      <w:pPr>
        <w:spacing w:after="0" w:line="240" w:lineRule="auto"/>
        <w:ind w:firstLine="708"/>
        <w:jc w:val="both"/>
        <w:rPr>
          <w:rFonts w:ascii="Calibri" w:eastAsia="Calibri" w:hAnsi="Calibri" w:cs="Arial"/>
          <w:color w:val="767171"/>
          <w:sz w:val="26"/>
          <w:szCs w:val="26"/>
          <w:lang w:eastAsia="es-ES"/>
        </w:rPr>
      </w:pPr>
      <w:r w:rsidRPr="00E92281">
        <w:rPr>
          <w:rFonts w:ascii="Calibri" w:eastAsia="Calibri" w:hAnsi="Calibri" w:cs="Arial"/>
          <w:color w:val="767171"/>
          <w:sz w:val="26"/>
          <w:szCs w:val="26"/>
          <w:lang w:eastAsia="es-ES"/>
        </w:rPr>
        <w:t xml:space="preserve">Notifíquese a la autoridad demandada por oficio y a la parte actora personalmente. . . . . . . . . . . . . . . . . . . . . . . . . . . . . . . . . . . . . . . . . . . . . . . . . . . . . . . . </w:t>
      </w:r>
    </w:p>
    <w:p w:rsidR="00E92281" w:rsidRPr="00E92281" w:rsidRDefault="00E92281" w:rsidP="00E92281">
      <w:pPr>
        <w:spacing w:after="0" w:line="240" w:lineRule="auto"/>
        <w:jc w:val="both"/>
        <w:rPr>
          <w:rFonts w:ascii="Calibri" w:eastAsia="Calibri" w:hAnsi="Calibri" w:cs="Arial"/>
          <w:color w:val="767171"/>
          <w:szCs w:val="26"/>
          <w:lang w:eastAsia="es-ES"/>
        </w:rPr>
      </w:pPr>
    </w:p>
    <w:p w:rsidR="00E92281" w:rsidRPr="00E92281" w:rsidRDefault="00E92281" w:rsidP="00E92281">
      <w:pPr>
        <w:spacing w:after="0" w:line="240" w:lineRule="auto"/>
        <w:jc w:val="both"/>
        <w:rPr>
          <w:rFonts w:ascii="Calibri" w:eastAsia="Calibri" w:hAnsi="Calibri" w:cs="Arial"/>
          <w:b/>
          <w:bCs/>
          <w:color w:val="767171"/>
          <w:sz w:val="26"/>
          <w:szCs w:val="26"/>
          <w:lang w:eastAsia="es-ES"/>
        </w:rPr>
      </w:pPr>
      <w:r w:rsidRPr="00E92281">
        <w:rPr>
          <w:rFonts w:ascii="Calibri" w:eastAsia="Calibri" w:hAnsi="Calibri" w:cs="Arial"/>
          <w:color w:val="767171"/>
          <w:sz w:val="26"/>
          <w:szCs w:val="26"/>
          <w:lang w:eastAsia="es-ES"/>
        </w:rPr>
        <w:tab/>
        <w:t xml:space="preserve">En su oportunidad, archívese este expediente, como asunto totalmente concluido y dese de baja en el Libro de Registros que se lleva para tal efecto. . . . . </w:t>
      </w:r>
    </w:p>
    <w:p w:rsidR="00E92281" w:rsidRPr="00E92281" w:rsidRDefault="00E92281" w:rsidP="00E92281">
      <w:pPr>
        <w:spacing w:after="0" w:line="240" w:lineRule="auto"/>
        <w:jc w:val="both"/>
        <w:rPr>
          <w:rFonts w:ascii="Calibri" w:eastAsia="Calibri" w:hAnsi="Calibri" w:cs="Arial"/>
          <w:color w:val="767171"/>
          <w:szCs w:val="26"/>
          <w:lang w:eastAsia="es-ES"/>
        </w:rPr>
      </w:pPr>
    </w:p>
    <w:p w:rsidR="00E92281" w:rsidRPr="00E92281" w:rsidRDefault="00E92281" w:rsidP="00E92281">
      <w:pPr>
        <w:spacing w:after="0" w:line="240" w:lineRule="auto"/>
        <w:ind w:firstLine="708"/>
        <w:jc w:val="both"/>
        <w:rPr>
          <w:rFonts w:ascii="Calibri" w:eastAsia="Calibri" w:hAnsi="Calibri" w:cs="Calibri"/>
          <w:color w:val="767171"/>
          <w:sz w:val="26"/>
          <w:szCs w:val="26"/>
          <w:lang w:eastAsia="es-ES"/>
        </w:rPr>
      </w:pPr>
      <w:r w:rsidRPr="00E92281">
        <w:rPr>
          <w:rFonts w:ascii="Calibri" w:eastAsia="Calibri" w:hAnsi="Calibri" w:cs="Calibri"/>
          <w:color w:val="767171"/>
          <w:sz w:val="26"/>
          <w:szCs w:val="26"/>
          <w:lang w:eastAsia="es-ES"/>
        </w:rPr>
        <w:t xml:space="preserve">Así lo resolvió y firma el Licenciado </w:t>
      </w:r>
      <w:r w:rsidRPr="00E92281">
        <w:rPr>
          <w:rFonts w:ascii="Calibri" w:eastAsia="Calibri" w:hAnsi="Calibri" w:cs="Calibri"/>
          <w:b/>
          <w:bCs/>
          <w:color w:val="767171"/>
          <w:sz w:val="26"/>
          <w:szCs w:val="26"/>
          <w:lang w:eastAsia="es-ES"/>
        </w:rPr>
        <w:t>Ernesto Alejandro Mora Álvarez</w:t>
      </w:r>
      <w:r w:rsidRPr="00E92281">
        <w:rPr>
          <w:rFonts w:ascii="Calibri" w:eastAsia="Calibri" w:hAnsi="Calibri" w:cs="Calibri"/>
          <w:color w:val="767171"/>
          <w:sz w:val="26"/>
          <w:szCs w:val="26"/>
          <w:lang w:eastAsia="es-ES"/>
        </w:rPr>
        <w:t xml:space="preserve">, Juez Segundo Administrativo municipal de León, Guanajuato, quien actúa asistido en forma legal con Secretaria de Estudio y Cuenta, la Licenciada </w:t>
      </w:r>
      <w:r w:rsidRPr="00E92281">
        <w:rPr>
          <w:rFonts w:ascii="Calibri" w:eastAsia="Calibri" w:hAnsi="Calibri" w:cs="Calibri"/>
          <w:b/>
          <w:color w:val="767171"/>
          <w:sz w:val="26"/>
          <w:szCs w:val="26"/>
          <w:lang w:eastAsia="es-ES"/>
        </w:rPr>
        <w:t>María del Rocío Villanueva Sánchez</w:t>
      </w:r>
      <w:r w:rsidRPr="00E92281">
        <w:rPr>
          <w:rFonts w:ascii="Calibri" w:eastAsia="Calibri" w:hAnsi="Calibri" w:cs="Calibri"/>
          <w:color w:val="767171"/>
          <w:sz w:val="26"/>
          <w:szCs w:val="26"/>
          <w:lang w:eastAsia="es-ES"/>
        </w:rPr>
        <w:t xml:space="preserve">, quien da fe. . . . . . . . . . . . . . . . . . . . . . . . . . . . . . . . . . . . . . . . . . </w:t>
      </w:r>
    </w:p>
    <w:p w:rsidR="00AB1F38" w:rsidRDefault="00E92281"/>
    <w:sectPr w:rsidR="00AB1F38" w:rsidSect="002A579E">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David Transparent">
    <w:charset w:val="B1"/>
    <w:family w:val="swiss"/>
    <w:pitch w:val="variable"/>
    <w:sig w:usb0="00000801" w:usb1="00000000" w:usb2="00000000" w:usb3="00000000" w:csb0="0000002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9E51A3"/>
    <w:multiLevelType w:val="hybridMultilevel"/>
    <w:tmpl w:val="A8288EC6"/>
    <w:lvl w:ilvl="0" w:tplc="83E09E9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grammar="clean"/>
  <w:defaultTabStop w:val="708"/>
  <w:hyphenationZone w:val="425"/>
  <w:characterSpacingControl w:val="doNotCompress"/>
  <w:compat/>
  <w:rsids>
    <w:rsidRoot w:val="00E92281"/>
    <w:rsid w:val="002A579E"/>
    <w:rsid w:val="007E154C"/>
    <w:rsid w:val="00814A01"/>
    <w:rsid w:val="00E9228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79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3171</Words>
  <Characters>17445</Characters>
  <Application>Microsoft Office Word</Application>
  <DocSecurity>0</DocSecurity>
  <Lines>145</Lines>
  <Paragraphs>41</Paragraphs>
  <ScaleCrop>false</ScaleCrop>
  <Company>soporte</Company>
  <LinksUpToDate>false</LinksUpToDate>
  <CharactersWithSpaces>20575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2018-01-31T15:04:00Z</dcterms:created>
  <dcterms:modified xsi:type="dcterms:W3CDTF">2018-01-31T15:05:00Z</dcterms:modified>
</cp:coreProperties>
</file>